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99A9A" w14:textId="77777777" w:rsidR="002D05BD" w:rsidRDefault="007049B4">
      <w:pPr>
        <w:spacing w:after="0" w:line="259" w:lineRule="auto"/>
        <w:ind w:left="120" w:firstLine="0"/>
      </w:pPr>
      <w:r>
        <w:t xml:space="preserve"> </w:t>
      </w:r>
    </w:p>
    <w:p w14:paraId="7B5CF789" w14:textId="77777777" w:rsidR="002D05BD" w:rsidRDefault="007049B4">
      <w:pPr>
        <w:spacing w:after="0" w:line="259" w:lineRule="auto"/>
        <w:ind w:left="120" w:firstLine="0"/>
      </w:pPr>
      <w:r>
        <w:t xml:space="preserve"> </w:t>
      </w:r>
    </w:p>
    <w:p w14:paraId="38912AB2" w14:textId="77777777" w:rsidR="002D05BD" w:rsidRDefault="007049B4">
      <w:pPr>
        <w:spacing w:after="0" w:line="259" w:lineRule="auto"/>
        <w:ind w:left="120" w:firstLine="0"/>
      </w:pPr>
      <w:r>
        <w:t xml:space="preserve"> </w:t>
      </w:r>
    </w:p>
    <w:p w14:paraId="341FC61B" w14:textId="77777777" w:rsidR="002D05BD" w:rsidRDefault="007049B4">
      <w:pPr>
        <w:spacing w:after="0" w:line="259" w:lineRule="auto"/>
        <w:ind w:left="120" w:firstLine="0"/>
      </w:pPr>
      <w:r>
        <w:t xml:space="preserve"> </w:t>
      </w:r>
    </w:p>
    <w:p w14:paraId="41FFD2AC" w14:textId="77777777" w:rsidR="002D05BD" w:rsidRDefault="007049B4">
      <w:pPr>
        <w:spacing w:after="0" w:line="259" w:lineRule="auto"/>
        <w:ind w:left="120" w:firstLine="0"/>
      </w:pPr>
      <w:r>
        <w:t xml:space="preserve"> </w:t>
      </w:r>
    </w:p>
    <w:p w14:paraId="0E41FAA9" w14:textId="77777777" w:rsidR="002D05BD" w:rsidRDefault="007049B4">
      <w:pPr>
        <w:spacing w:after="0" w:line="259" w:lineRule="auto"/>
        <w:ind w:left="120" w:firstLine="0"/>
      </w:pPr>
      <w:r>
        <w:t xml:space="preserve"> </w:t>
      </w:r>
    </w:p>
    <w:p w14:paraId="1439E7A2" w14:textId="77777777" w:rsidR="002D05BD" w:rsidRDefault="007049B4">
      <w:pPr>
        <w:spacing w:after="0" w:line="259" w:lineRule="auto"/>
        <w:ind w:left="120" w:firstLine="0"/>
      </w:pPr>
      <w:r>
        <w:t xml:space="preserve"> </w:t>
      </w:r>
    </w:p>
    <w:p w14:paraId="0C77FB36" w14:textId="77777777" w:rsidR="002D05BD" w:rsidRDefault="007049B4">
      <w:pPr>
        <w:spacing w:after="0" w:line="259" w:lineRule="auto"/>
        <w:ind w:left="120" w:firstLine="0"/>
      </w:pPr>
      <w:r>
        <w:t xml:space="preserve"> </w:t>
      </w:r>
    </w:p>
    <w:p w14:paraId="71ECF36C" w14:textId="77777777" w:rsidR="002D05BD" w:rsidRDefault="007049B4">
      <w:pPr>
        <w:spacing w:after="0" w:line="259" w:lineRule="auto"/>
        <w:ind w:left="120" w:firstLine="0"/>
      </w:pPr>
      <w:r>
        <w:t xml:space="preserve"> </w:t>
      </w:r>
    </w:p>
    <w:p w14:paraId="2A4367E7" w14:textId="77777777" w:rsidR="002D05BD" w:rsidRDefault="007049B4">
      <w:pPr>
        <w:spacing w:after="30" w:line="259" w:lineRule="auto"/>
        <w:ind w:left="120" w:firstLine="0"/>
      </w:pPr>
      <w:r>
        <w:t xml:space="preserve"> </w:t>
      </w:r>
    </w:p>
    <w:p w14:paraId="76F5D185" w14:textId="77777777" w:rsidR="002D05BD" w:rsidRPr="007A548E" w:rsidRDefault="007049B4">
      <w:pPr>
        <w:spacing w:after="294" w:line="259" w:lineRule="auto"/>
        <w:ind w:left="119" w:firstLine="0"/>
      </w:pPr>
      <w:r w:rsidRPr="007A548E">
        <w:rPr>
          <w:noProof/>
        </w:rPr>
        <w:drawing>
          <wp:inline distT="0" distB="0" distL="0" distR="0" wp14:anchorId="70AA428B" wp14:editId="4EC7C7CE">
            <wp:extent cx="911504" cy="12001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1"/>
                    <a:stretch>
                      <a:fillRect/>
                    </a:stretch>
                  </pic:blipFill>
                  <pic:spPr>
                    <a:xfrm>
                      <a:off x="0" y="0"/>
                      <a:ext cx="911504" cy="120015"/>
                    </a:xfrm>
                    <a:prstGeom prst="rect">
                      <a:avLst/>
                    </a:prstGeom>
                  </pic:spPr>
                </pic:pic>
              </a:graphicData>
            </a:graphic>
          </wp:inline>
        </w:drawing>
      </w:r>
      <w:r w:rsidRPr="007A548E">
        <w:t xml:space="preserve"> </w:t>
      </w:r>
    </w:p>
    <w:p w14:paraId="4F73DBE5" w14:textId="77777777" w:rsidR="002D05BD" w:rsidRPr="007A548E" w:rsidRDefault="007049B4">
      <w:pPr>
        <w:spacing w:after="159" w:line="259" w:lineRule="auto"/>
        <w:ind w:left="120" w:firstLine="0"/>
      </w:pPr>
      <w:proofErr w:type="spellStart"/>
      <w:r w:rsidRPr="007A548E">
        <w:rPr>
          <w:b/>
          <w:sz w:val="42"/>
        </w:rPr>
        <w:t>Energage</w:t>
      </w:r>
      <w:proofErr w:type="spellEnd"/>
      <w:r w:rsidRPr="007A548E">
        <w:rPr>
          <w:b/>
          <w:sz w:val="42"/>
        </w:rPr>
        <w:t xml:space="preserve"> Data Processing Agreement  </w:t>
      </w:r>
    </w:p>
    <w:p w14:paraId="220CFE37" w14:textId="31B3E16B" w:rsidR="002D05BD" w:rsidRPr="007A548E" w:rsidRDefault="007049B4" w:rsidP="00697357">
      <w:pPr>
        <w:spacing w:after="0" w:line="259" w:lineRule="auto"/>
        <w:ind w:left="120" w:firstLine="0"/>
      </w:pPr>
      <w:r w:rsidRPr="007A548E">
        <w:rPr>
          <w:sz w:val="28"/>
        </w:rPr>
        <w:tab/>
      </w:r>
      <w:r w:rsidRPr="007A548E">
        <w:t xml:space="preserve"> </w:t>
      </w:r>
      <w:r w:rsidRPr="007A548E">
        <w:br w:type="page"/>
      </w:r>
    </w:p>
    <w:sdt>
      <w:sdtPr>
        <w:id w:val="-561945978"/>
        <w:docPartObj>
          <w:docPartGallery w:val="Table of Contents"/>
          <w:docPartUnique/>
        </w:docPartObj>
      </w:sdtPr>
      <w:sdtEndPr>
        <w:rPr>
          <w:rFonts w:ascii="Cambria" w:eastAsia="Cambria" w:hAnsi="Cambria" w:cs="Cambria"/>
          <w:b/>
          <w:bCs/>
          <w:noProof/>
          <w:color w:val="000000"/>
          <w:kern w:val="2"/>
          <w:sz w:val="24"/>
          <w:szCs w:val="24"/>
          <w14:ligatures w14:val="standardContextual"/>
        </w:rPr>
      </w:sdtEndPr>
      <w:sdtContent>
        <w:p w14:paraId="732E100A" w14:textId="12C9E314" w:rsidR="00697357" w:rsidRPr="007A548E" w:rsidRDefault="00697357">
          <w:pPr>
            <w:pStyle w:val="TOCHeading"/>
            <w:rPr>
              <w:color w:val="auto"/>
            </w:rPr>
          </w:pPr>
          <w:r w:rsidRPr="007A548E">
            <w:rPr>
              <w:color w:val="auto"/>
            </w:rPr>
            <w:t>Table of Contents</w:t>
          </w:r>
        </w:p>
        <w:p w14:paraId="5B24F92D" w14:textId="0A65E387" w:rsidR="00D21630" w:rsidRDefault="00697357">
          <w:pPr>
            <w:pStyle w:val="TOC1"/>
            <w:tabs>
              <w:tab w:val="right" w:leader="dot" w:pos="9466"/>
            </w:tabs>
            <w:rPr>
              <w:rFonts w:asciiTheme="minorHAnsi" w:eastAsiaTheme="minorEastAsia" w:hAnsiTheme="minorHAnsi" w:cstheme="minorBidi"/>
              <w:noProof/>
              <w:color w:val="auto"/>
            </w:rPr>
          </w:pPr>
          <w:r w:rsidRPr="007A548E">
            <w:fldChar w:fldCharType="begin"/>
          </w:r>
          <w:r w:rsidRPr="007A548E">
            <w:instrText xml:space="preserve"> TOC \o "1-3" \h \z \u </w:instrText>
          </w:r>
          <w:r w:rsidRPr="007A548E">
            <w:fldChar w:fldCharType="separate"/>
          </w:r>
          <w:hyperlink w:anchor="_Toc219973360" w:history="1">
            <w:r w:rsidR="00D21630" w:rsidRPr="00954664">
              <w:rPr>
                <w:rStyle w:val="Hyperlink"/>
                <w:noProof/>
              </w:rPr>
              <w:t>Introduction</w:t>
            </w:r>
            <w:r w:rsidR="00D21630">
              <w:rPr>
                <w:noProof/>
                <w:webHidden/>
              </w:rPr>
              <w:tab/>
            </w:r>
            <w:r w:rsidR="00D21630">
              <w:rPr>
                <w:noProof/>
                <w:webHidden/>
              </w:rPr>
              <w:fldChar w:fldCharType="begin"/>
            </w:r>
            <w:r w:rsidR="00D21630">
              <w:rPr>
                <w:noProof/>
                <w:webHidden/>
              </w:rPr>
              <w:instrText xml:space="preserve"> PAGEREF _Toc219973360 \h </w:instrText>
            </w:r>
            <w:r w:rsidR="00D21630">
              <w:rPr>
                <w:noProof/>
                <w:webHidden/>
              </w:rPr>
            </w:r>
            <w:r w:rsidR="00D21630">
              <w:rPr>
                <w:noProof/>
                <w:webHidden/>
              </w:rPr>
              <w:fldChar w:fldCharType="separate"/>
            </w:r>
            <w:r w:rsidR="00D21630">
              <w:rPr>
                <w:noProof/>
                <w:webHidden/>
              </w:rPr>
              <w:t>3</w:t>
            </w:r>
            <w:r w:rsidR="00D21630">
              <w:rPr>
                <w:noProof/>
                <w:webHidden/>
              </w:rPr>
              <w:fldChar w:fldCharType="end"/>
            </w:r>
          </w:hyperlink>
        </w:p>
        <w:p w14:paraId="34782444" w14:textId="1C34AC22" w:rsidR="00D21630" w:rsidRDefault="00D21630">
          <w:pPr>
            <w:pStyle w:val="TOC1"/>
            <w:tabs>
              <w:tab w:val="right" w:leader="dot" w:pos="9466"/>
            </w:tabs>
            <w:rPr>
              <w:rFonts w:asciiTheme="minorHAnsi" w:eastAsiaTheme="minorEastAsia" w:hAnsiTheme="minorHAnsi" w:cstheme="minorBidi"/>
              <w:noProof/>
              <w:color w:val="auto"/>
            </w:rPr>
          </w:pPr>
          <w:hyperlink w:anchor="_Toc219973361" w:history="1">
            <w:r w:rsidRPr="00954664">
              <w:rPr>
                <w:rStyle w:val="Hyperlink"/>
                <w:noProof/>
              </w:rPr>
              <w:t>1.0 Definitions</w:t>
            </w:r>
            <w:r>
              <w:rPr>
                <w:noProof/>
                <w:webHidden/>
              </w:rPr>
              <w:tab/>
            </w:r>
            <w:r>
              <w:rPr>
                <w:noProof/>
                <w:webHidden/>
              </w:rPr>
              <w:fldChar w:fldCharType="begin"/>
            </w:r>
            <w:r>
              <w:rPr>
                <w:noProof/>
                <w:webHidden/>
              </w:rPr>
              <w:instrText xml:space="preserve"> PAGEREF _Toc219973361 \h </w:instrText>
            </w:r>
            <w:r>
              <w:rPr>
                <w:noProof/>
                <w:webHidden/>
              </w:rPr>
            </w:r>
            <w:r>
              <w:rPr>
                <w:noProof/>
                <w:webHidden/>
              </w:rPr>
              <w:fldChar w:fldCharType="separate"/>
            </w:r>
            <w:r>
              <w:rPr>
                <w:noProof/>
                <w:webHidden/>
              </w:rPr>
              <w:t>3</w:t>
            </w:r>
            <w:r>
              <w:rPr>
                <w:noProof/>
                <w:webHidden/>
              </w:rPr>
              <w:fldChar w:fldCharType="end"/>
            </w:r>
          </w:hyperlink>
        </w:p>
        <w:p w14:paraId="00141448" w14:textId="73417FFD" w:rsidR="00D21630" w:rsidRDefault="00D21630">
          <w:pPr>
            <w:pStyle w:val="TOC1"/>
            <w:tabs>
              <w:tab w:val="right" w:leader="dot" w:pos="9466"/>
            </w:tabs>
            <w:rPr>
              <w:rFonts w:asciiTheme="minorHAnsi" w:eastAsiaTheme="minorEastAsia" w:hAnsiTheme="minorHAnsi" w:cstheme="minorBidi"/>
              <w:noProof/>
              <w:color w:val="auto"/>
            </w:rPr>
          </w:pPr>
          <w:hyperlink w:anchor="_Toc219973362" w:history="1">
            <w:r w:rsidRPr="00954664">
              <w:rPr>
                <w:rStyle w:val="Hyperlink"/>
                <w:noProof/>
              </w:rPr>
              <w:t>2.0 Processing of Controller Personal Data</w:t>
            </w:r>
            <w:r>
              <w:rPr>
                <w:noProof/>
                <w:webHidden/>
              </w:rPr>
              <w:tab/>
            </w:r>
            <w:r>
              <w:rPr>
                <w:noProof/>
                <w:webHidden/>
              </w:rPr>
              <w:fldChar w:fldCharType="begin"/>
            </w:r>
            <w:r>
              <w:rPr>
                <w:noProof/>
                <w:webHidden/>
              </w:rPr>
              <w:instrText xml:space="preserve"> PAGEREF _Toc219973362 \h </w:instrText>
            </w:r>
            <w:r>
              <w:rPr>
                <w:noProof/>
                <w:webHidden/>
              </w:rPr>
            </w:r>
            <w:r>
              <w:rPr>
                <w:noProof/>
                <w:webHidden/>
              </w:rPr>
              <w:fldChar w:fldCharType="separate"/>
            </w:r>
            <w:r>
              <w:rPr>
                <w:noProof/>
                <w:webHidden/>
              </w:rPr>
              <w:t>5</w:t>
            </w:r>
            <w:r>
              <w:rPr>
                <w:noProof/>
                <w:webHidden/>
              </w:rPr>
              <w:fldChar w:fldCharType="end"/>
            </w:r>
          </w:hyperlink>
        </w:p>
        <w:p w14:paraId="1D5ABDE3" w14:textId="211515FB" w:rsidR="00D21630" w:rsidRDefault="00D21630">
          <w:pPr>
            <w:pStyle w:val="TOC2"/>
            <w:tabs>
              <w:tab w:val="right" w:leader="dot" w:pos="9466"/>
            </w:tabs>
            <w:rPr>
              <w:rFonts w:asciiTheme="minorHAnsi" w:eastAsiaTheme="minorEastAsia" w:hAnsiTheme="minorHAnsi" w:cstheme="minorBidi"/>
              <w:noProof/>
              <w:color w:val="auto"/>
            </w:rPr>
          </w:pPr>
          <w:hyperlink w:anchor="_Toc219973363" w:history="1">
            <w:r w:rsidRPr="00954664">
              <w:rPr>
                <w:rStyle w:val="Hyperlink"/>
                <w:noProof/>
              </w:rPr>
              <w:t>2.1 Controller obligations</w:t>
            </w:r>
            <w:r>
              <w:rPr>
                <w:noProof/>
                <w:webHidden/>
              </w:rPr>
              <w:tab/>
            </w:r>
            <w:r>
              <w:rPr>
                <w:noProof/>
                <w:webHidden/>
              </w:rPr>
              <w:fldChar w:fldCharType="begin"/>
            </w:r>
            <w:r>
              <w:rPr>
                <w:noProof/>
                <w:webHidden/>
              </w:rPr>
              <w:instrText xml:space="preserve"> PAGEREF _Toc219973363 \h </w:instrText>
            </w:r>
            <w:r>
              <w:rPr>
                <w:noProof/>
                <w:webHidden/>
              </w:rPr>
            </w:r>
            <w:r>
              <w:rPr>
                <w:noProof/>
                <w:webHidden/>
              </w:rPr>
              <w:fldChar w:fldCharType="separate"/>
            </w:r>
            <w:r>
              <w:rPr>
                <w:noProof/>
                <w:webHidden/>
              </w:rPr>
              <w:t>5</w:t>
            </w:r>
            <w:r>
              <w:rPr>
                <w:noProof/>
                <w:webHidden/>
              </w:rPr>
              <w:fldChar w:fldCharType="end"/>
            </w:r>
          </w:hyperlink>
        </w:p>
        <w:p w14:paraId="3D337BFE" w14:textId="2AF6BF93" w:rsidR="00D21630" w:rsidRDefault="00D21630">
          <w:pPr>
            <w:pStyle w:val="TOC2"/>
            <w:tabs>
              <w:tab w:val="right" w:leader="dot" w:pos="9466"/>
            </w:tabs>
            <w:rPr>
              <w:rFonts w:asciiTheme="minorHAnsi" w:eastAsiaTheme="minorEastAsia" w:hAnsiTheme="minorHAnsi" w:cstheme="minorBidi"/>
              <w:noProof/>
              <w:color w:val="auto"/>
            </w:rPr>
          </w:pPr>
          <w:hyperlink w:anchor="_Toc219973364" w:history="1">
            <w:r w:rsidRPr="00954664">
              <w:rPr>
                <w:rStyle w:val="Hyperlink"/>
                <w:noProof/>
              </w:rPr>
              <w:t>2.2 Energage Obligations</w:t>
            </w:r>
            <w:r>
              <w:rPr>
                <w:noProof/>
                <w:webHidden/>
              </w:rPr>
              <w:tab/>
            </w:r>
            <w:r>
              <w:rPr>
                <w:noProof/>
                <w:webHidden/>
              </w:rPr>
              <w:fldChar w:fldCharType="begin"/>
            </w:r>
            <w:r>
              <w:rPr>
                <w:noProof/>
                <w:webHidden/>
              </w:rPr>
              <w:instrText xml:space="preserve"> PAGEREF _Toc219973364 \h </w:instrText>
            </w:r>
            <w:r>
              <w:rPr>
                <w:noProof/>
                <w:webHidden/>
              </w:rPr>
            </w:r>
            <w:r>
              <w:rPr>
                <w:noProof/>
                <w:webHidden/>
              </w:rPr>
              <w:fldChar w:fldCharType="separate"/>
            </w:r>
            <w:r>
              <w:rPr>
                <w:noProof/>
                <w:webHidden/>
              </w:rPr>
              <w:t>5</w:t>
            </w:r>
            <w:r>
              <w:rPr>
                <w:noProof/>
                <w:webHidden/>
              </w:rPr>
              <w:fldChar w:fldCharType="end"/>
            </w:r>
          </w:hyperlink>
        </w:p>
        <w:p w14:paraId="7B288E2B" w14:textId="09C1C8E6" w:rsidR="00D21630" w:rsidRDefault="00D21630">
          <w:pPr>
            <w:pStyle w:val="TOC2"/>
            <w:tabs>
              <w:tab w:val="right" w:leader="dot" w:pos="9466"/>
            </w:tabs>
            <w:rPr>
              <w:rFonts w:asciiTheme="minorHAnsi" w:eastAsiaTheme="minorEastAsia" w:hAnsiTheme="minorHAnsi" w:cstheme="minorBidi"/>
              <w:noProof/>
              <w:color w:val="auto"/>
            </w:rPr>
          </w:pPr>
          <w:hyperlink w:anchor="_Toc219973365" w:history="1">
            <w:r w:rsidRPr="00954664">
              <w:rPr>
                <w:rStyle w:val="Hyperlink"/>
                <w:noProof/>
              </w:rPr>
              <w:t>2.3 Sub-processors</w:t>
            </w:r>
            <w:r>
              <w:rPr>
                <w:noProof/>
                <w:webHidden/>
              </w:rPr>
              <w:tab/>
            </w:r>
            <w:r>
              <w:rPr>
                <w:noProof/>
                <w:webHidden/>
              </w:rPr>
              <w:fldChar w:fldCharType="begin"/>
            </w:r>
            <w:r>
              <w:rPr>
                <w:noProof/>
                <w:webHidden/>
              </w:rPr>
              <w:instrText xml:space="preserve"> PAGEREF _Toc219973365 \h </w:instrText>
            </w:r>
            <w:r>
              <w:rPr>
                <w:noProof/>
                <w:webHidden/>
              </w:rPr>
            </w:r>
            <w:r>
              <w:rPr>
                <w:noProof/>
                <w:webHidden/>
              </w:rPr>
              <w:fldChar w:fldCharType="separate"/>
            </w:r>
            <w:r>
              <w:rPr>
                <w:noProof/>
                <w:webHidden/>
              </w:rPr>
              <w:t>6</w:t>
            </w:r>
            <w:r>
              <w:rPr>
                <w:noProof/>
                <w:webHidden/>
              </w:rPr>
              <w:fldChar w:fldCharType="end"/>
            </w:r>
          </w:hyperlink>
        </w:p>
        <w:p w14:paraId="5DE31216" w14:textId="70492A14" w:rsidR="00D21630" w:rsidRDefault="00D21630">
          <w:pPr>
            <w:pStyle w:val="TOC1"/>
            <w:tabs>
              <w:tab w:val="right" w:leader="dot" w:pos="9466"/>
            </w:tabs>
            <w:rPr>
              <w:rFonts w:asciiTheme="minorHAnsi" w:eastAsiaTheme="minorEastAsia" w:hAnsiTheme="minorHAnsi" w:cstheme="minorBidi"/>
              <w:noProof/>
              <w:color w:val="auto"/>
            </w:rPr>
          </w:pPr>
          <w:hyperlink w:anchor="_Toc219973366" w:history="1">
            <w:r w:rsidRPr="00954664">
              <w:rPr>
                <w:rStyle w:val="Hyperlink"/>
                <w:noProof/>
              </w:rPr>
              <w:t>3.0 Data Protection</w:t>
            </w:r>
            <w:r>
              <w:rPr>
                <w:noProof/>
                <w:webHidden/>
              </w:rPr>
              <w:tab/>
            </w:r>
            <w:r>
              <w:rPr>
                <w:noProof/>
                <w:webHidden/>
              </w:rPr>
              <w:fldChar w:fldCharType="begin"/>
            </w:r>
            <w:r>
              <w:rPr>
                <w:noProof/>
                <w:webHidden/>
              </w:rPr>
              <w:instrText xml:space="preserve"> PAGEREF _Toc219973366 \h </w:instrText>
            </w:r>
            <w:r>
              <w:rPr>
                <w:noProof/>
                <w:webHidden/>
              </w:rPr>
            </w:r>
            <w:r>
              <w:rPr>
                <w:noProof/>
                <w:webHidden/>
              </w:rPr>
              <w:fldChar w:fldCharType="separate"/>
            </w:r>
            <w:r>
              <w:rPr>
                <w:noProof/>
                <w:webHidden/>
              </w:rPr>
              <w:t>7</w:t>
            </w:r>
            <w:r>
              <w:rPr>
                <w:noProof/>
                <w:webHidden/>
              </w:rPr>
              <w:fldChar w:fldCharType="end"/>
            </w:r>
          </w:hyperlink>
        </w:p>
        <w:p w14:paraId="6B39C99B" w14:textId="5430BF46" w:rsidR="00D21630" w:rsidRDefault="00D21630">
          <w:pPr>
            <w:pStyle w:val="TOC2"/>
            <w:tabs>
              <w:tab w:val="right" w:leader="dot" w:pos="9466"/>
            </w:tabs>
            <w:rPr>
              <w:rFonts w:asciiTheme="minorHAnsi" w:eastAsiaTheme="minorEastAsia" w:hAnsiTheme="minorHAnsi" w:cstheme="minorBidi"/>
              <w:noProof/>
              <w:color w:val="auto"/>
            </w:rPr>
          </w:pPr>
          <w:hyperlink w:anchor="_Toc219973367" w:history="1">
            <w:r w:rsidRPr="00954664">
              <w:rPr>
                <w:rStyle w:val="Hyperlink"/>
                <w:noProof/>
              </w:rPr>
              <w:t>3.1 Security Measures</w:t>
            </w:r>
            <w:r>
              <w:rPr>
                <w:noProof/>
                <w:webHidden/>
              </w:rPr>
              <w:tab/>
            </w:r>
            <w:r>
              <w:rPr>
                <w:noProof/>
                <w:webHidden/>
              </w:rPr>
              <w:fldChar w:fldCharType="begin"/>
            </w:r>
            <w:r>
              <w:rPr>
                <w:noProof/>
                <w:webHidden/>
              </w:rPr>
              <w:instrText xml:space="preserve"> PAGEREF _Toc219973367 \h </w:instrText>
            </w:r>
            <w:r>
              <w:rPr>
                <w:noProof/>
                <w:webHidden/>
              </w:rPr>
            </w:r>
            <w:r>
              <w:rPr>
                <w:noProof/>
                <w:webHidden/>
              </w:rPr>
              <w:fldChar w:fldCharType="separate"/>
            </w:r>
            <w:r>
              <w:rPr>
                <w:noProof/>
                <w:webHidden/>
              </w:rPr>
              <w:t>7</w:t>
            </w:r>
            <w:r>
              <w:rPr>
                <w:noProof/>
                <w:webHidden/>
              </w:rPr>
              <w:fldChar w:fldCharType="end"/>
            </w:r>
          </w:hyperlink>
        </w:p>
        <w:p w14:paraId="22F82391" w14:textId="00F2E42F" w:rsidR="00D21630" w:rsidRDefault="00D21630">
          <w:pPr>
            <w:pStyle w:val="TOC2"/>
            <w:tabs>
              <w:tab w:val="right" w:leader="dot" w:pos="9466"/>
            </w:tabs>
            <w:rPr>
              <w:rFonts w:asciiTheme="minorHAnsi" w:eastAsiaTheme="minorEastAsia" w:hAnsiTheme="minorHAnsi" w:cstheme="minorBidi"/>
              <w:noProof/>
              <w:color w:val="auto"/>
            </w:rPr>
          </w:pPr>
          <w:hyperlink w:anchor="_Toc219973368" w:history="1">
            <w:r w:rsidRPr="00954664">
              <w:rPr>
                <w:rStyle w:val="Hyperlink"/>
                <w:noProof/>
              </w:rPr>
              <w:t>3.2 Confidentiality</w:t>
            </w:r>
            <w:r>
              <w:rPr>
                <w:noProof/>
                <w:webHidden/>
              </w:rPr>
              <w:tab/>
            </w:r>
            <w:r>
              <w:rPr>
                <w:noProof/>
                <w:webHidden/>
              </w:rPr>
              <w:fldChar w:fldCharType="begin"/>
            </w:r>
            <w:r>
              <w:rPr>
                <w:noProof/>
                <w:webHidden/>
              </w:rPr>
              <w:instrText xml:space="preserve"> PAGEREF _Toc219973368 \h </w:instrText>
            </w:r>
            <w:r>
              <w:rPr>
                <w:noProof/>
                <w:webHidden/>
              </w:rPr>
            </w:r>
            <w:r>
              <w:rPr>
                <w:noProof/>
                <w:webHidden/>
              </w:rPr>
              <w:fldChar w:fldCharType="separate"/>
            </w:r>
            <w:r>
              <w:rPr>
                <w:noProof/>
                <w:webHidden/>
              </w:rPr>
              <w:t>7</w:t>
            </w:r>
            <w:r>
              <w:rPr>
                <w:noProof/>
                <w:webHidden/>
              </w:rPr>
              <w:fldChar w:fldCharType="end"/>
            </w:r>
          </w:hyperlink>
        </w:p>
        <w:p w14:paraId="247926A7" w14:textId="0B93C805" w:rsidR="00D21630" w:rsidRDefault="00D21630">
          <w:pPr>
            <w:pStyle w:val="TOC2"/>
            <w:tabs>
              <w:tab w:val="right" w:leader="dot" w:pos="9466"/>
            </w:tabs>
            <w:rPr>
              <w:rFonts w:asciiTheme="minorHAnsi" w:eastAsiaTheme="minorEastAsia" w:hAnsiTheme="minorHAnsi" w:cstheme="minorBidi"/>
              <w:noProof/>
              <w:color w:val="auto"/>
            </w:rPr>
          </w:pPr>
          <w:hyperlink w:anchor="_Toc219973369" w:history="1">
            <w:r w:rsidRPr="00954664">
              <w:rPr>
                <w:rStyle w:val="Hyperlink"/>
                <w:noProof/>
              </w:rPr>
              <w:t>3.3 Security Breach or Personal Data Breach</w:t>
            </w:r>
            <w:r>
              <w:rPr>
                <w:noProof/>
                <w:webHidden/>
              </w:rPr>
              <w:tab/>
            </w:r>
            <w:r>
              <w:rPr>
                <w:noProof/>
                <w:webHidden/>
              </w:rPr>
              <w:fldChar w:fldCharType="begin"/>
            </w:r>
            <w:r>
              <w:rPr>
                <w:noProof/>
                <w:webHidden/>
              </w:rPr>
              <w:instrText xml:space="preserve"> PAGEREF _Toc219973369 \h </w:instrText>
            </w:r>
            <w:r>
              <w:rPr>
                <w:noProof/>
                <w:webHidden/>
              </w:rPr>
            </w:r>
            <w:r>
              <w:rPr>
                <w:noProof/>
                <w:webHidden/>
              </w:rPr>
              <w:fldChar w:fldCharType="separate"/>
            </w:r>
            <w:r>
              <w:rPr>
                <w:noProof/>
                <w:webHidden/>
              </w:rPr>
              <w:t>7</w:t>
            </w:r>
            <w:r>
              <w:rPr>
                <w:noProof/>
                <w:webHidden/>
              </w:rPr>
              <w:fldChar w:fldCharType="end"/>
            </w:r>
          </w:hyperlink>
        </w:p>
        <w:p w14:paraId="56CC9841" w14:textId="5AC37412" w:rsidR="00D21630" w:rsidRDefault="00D21630">
          <w:pPr>
            <w:pStyle w:val="TOC2"/>
            <w:tabs>
              <w:tab w:val="right" w:leader="dot" w:pos="9466"/>
            </w:tabs>
            <w:rPr>
              <w:rFonts w:asciiTheme="minorHAnsi" w:eastAsiaTheme="minorEastAsia" w:hAnsiTheme="minorHAnsi" w:cstheme="minorBidi"/>
              <w:noProof/>
              <w:color w:val="auto"/>
            </w:rPr>
          </w:pPr>
          <w:hyperlink w:anchor="_Toc219973370" w:history="1">
            <w:r w:rsidRPr="00954664">
              <w:rPr>
                <w:rStyle w:val="Hyperlink"/>
                <w:noProof/>
              </w:rPr>
              <w:t>3.4 Controller Security Responsibility</w:t>
            </w:r>
            <w:r>
              <w:rPr>
                <w:noProof/>
                <w:webHidden/>
              </w:rPr>
              <w:tab/>
            </w:r>
            <w:r>
              <w:rPr>
                <w:noProof/>
                <w:webHidden/>
              </w:rPr>
              <w:fldChar w:fldCharType="begin"/>
            </w:r>
            <w:r>
              <w:rPr>
                <w:noProof/>
                <w:webHidden/>
              </w:rPr>
              <w:instrText xml:space="preserve"> PAGEREF _Toc219973370 \h </w:instrText>
            </w:r>
            <w:r>
              <w:rPr>
                <w:noProof/>
                <w:webHidden/>
              </w:rPr>
            </w:r>
            <w:r>
              <w:rPr>
                <w:noProof/>
                <w:webHidden/>
              </w:rPr>
              <w:fldChar w:fldCharType="separate"/>
            </w:r>
            <w:r>
              <w:rPr>
                <w:noProof/>
                <w:webHidden/>
              </w:rPr>
              <w:t>7</w:t>
            </w:r>
            <w:r>
              <w:rPr>
                <w:noProof/>
                <w:webHidden/>
              </w:rPr>
              <w:fldChar w:fldCharType="end"/>
            </w:r>
          </w:hyperlink>
        </w:p>
        <w:p w14:paraId="01F9C950" w14:textId="5BA03F87" w:rsidR="00D21630" w:rsidRDefault="00D21630">
          <w:pPr>
            <w:pStyle w:val="TOC1"/>
            <w:tabs>
              <w:tab w:val="right" w:leader="dot" w:pos="9466"/>
            </w:tabs>
            <w:rPr>
              <w:rFonts w:asciiTheme="minorHAnsi" w:eastAsiaTheme="minorEastAsia" w:hAnsiTheme="minorHAnsi" w:cstheme="minorBidi"/>
              <w:noProof/>
              <w:color w:val="auto"/>
            </w:rPr>
          </w:pPr>
          <w:hyperlink w:anchor="_Toc219973371" w:history="1">
            <w:r w:rsidRPr="00954664">
              <w:rPr>
                <w:rStyle w:val="Hyperlink"/>
                <w:noProof/>
              </w:rPr>
              <w:t>4.0</w:t>
            </w:r>
            <w:r w:rsidRPr="00954664">
              <w:rPr>
                <w:rStyle w:val="Hyperlink"/>
                <w:rFonts w:ascii="Arial" w:eastAsia="Arial" w:hAnsi="Arial" w:cs="Arial"/>
                <w:noProof/>
              </w:rPr>
              <w:t xml:space="preserve"> </w:t>
            </w:r>
            <w:r w:rsidRPr="00954664">
              <w:rPr>
                <w:rStyle w:val="Hyperlink"/>
                <w:noProof/>
              </w:rPr>
              <w:t>Data Transfers</w:t>
            </w:r>
            <w:r>
              <w:rPr>
                <w:noProof/>
                <w:webHidden/>
              </w:rPr>
              <w:tab/>
            </w:r>
            <w:r>
              <w:rPr>
                <w:noProof/>
                <w:webHidden/>
              </w:rPr>
              <w:fldChar w:fldCharType="begin"/>
            </w:r>
            <w:r>
              <w:rPr>
                <w:noProof/>
                <w:webHidden/>
              </w:rPr>
              <w:instrText xml:space="preserve"> PAGEREF _Toc219973371 \h </w:instrText>
            </w:r>
            <w:r>
              <w:rPr>
                <w:noProof/>
                <w:webHidden/>
              </w:rPr>
            </w:r>
            <w:r>
              <w:rPr>
                <w:noProof/>
                <w:webHidden/>
              </w:rPr>
              <w:fldChar w:fldCharType="separate"/>
            </w:r>
            <w:r>
              <w:rPr>
                <w:noProof/>
                <w:webHidden/>
              </w:rPr>
              <w:t>7</w:t>
            </w:r>
            <w:r>
              <w:rPr>
                <w:noProof/>
                <w:webHidden/>
              </w:rPr>
              <w:fldChar w:fldCharType="end"/>
            </w:r>
          </w:hyperlink>
        </w:p>
        <w:p w14:paraId="66ACB16A" w14:textId="22930757" w:rsidR="00D21630" w:rsidRDefault="00D21630">
          <w:pPr>
            <w:pStyle w:val="TOC1"/>
            <w:tabs>
              <w:tab w:val="right" w:leader="dot" w:pos="9466"/>
            </w:tabs>
            <w:rPr>
              <w:rFonts w:asciiTheme="minorHAnsi" w:eastAsiaTheme="minorEastAsia" w:hAnsiTheme="minorHAnsi" w:cstheme="minorBidi"/>
              <w:noProof/>
              <w:color w:val="auto"/>
            </w:rPr>
          </w:pPr>
          <w:hyperlink w:anchor="_Toc219973372" w:history="1">
            <w:r w:rsidRPr="00954664">
              <w:rPr>
                <w:rStyle w:val="Hyperlink"/>
                <w:noProof/>
              </w:rPr>
              <w:t>5.0 Rights of Data Subjects</w:t>
            </w:r>
            <w:r>
              <w:rPr>
                <w:noProof/>
                <w:webHidden/>
              </w:rPr>
              <w:tab/>
            </w:r>
            <w:r>
              <w:rPr>
                <w:noProof/>
                <w:webHidden/>
              </w:rPr>
              <w:fldChar w:fldCharType="begin"/>
            </w:r>
            <w:r>
              <w:rPr>
                <w:noProof/>
                <w:webHidden/>
              </w:rPr>
              <w:instrText xml:space="preserve"> PAGEREF _Toc219973372 \h </w:instrText>
            </w:r>
            <w:r>
              <w:rPr>
                <w:noProof/>
                <w:webHidden/>
              </w:rPr>
            </w:r>
            <w:r>
              <w:rPr>
                <w:noProof/>
                <w:webHidden/>
              </w:rPr>
              <w:fldChar w:fldCharType="separate"/>
            </w:r>
            <w:r>
              <w:rPr>
                <w:noProof/>
                <w:webHidden/>
              </w:rPr>
              <w:t>9</w:t>
            </w:r>
            <w:r>
              <w:rPr>
                <w:noProof/>
                <w:webHidden/>
              </w:rPr>
              <w:fldChar w:fldCharType="end"/>
            </w:r>
          </w:hyperlink>
        </w:p>
        <w:p w14:paraId="0A1F27EC" w14:textId="33437A93" w:rsidR="00D21630" w:rsidRDefault="00D21630">
          <w:pPr>
            <w:pStyle w:val="TOC2"/>
            <w:tabs>
              <w:tab w:val="right" w:leader="dot" w:pos="9466"/>
            </w:tabs>
            <w:rPr>
              <w:rFonts w:asciiTheme="minorHAnsi" w:eastAsiaTheme="minorEastAsia" w:hAnsiTheme="minorHAnsi" w:cstheme="minorBidi"/>
              <w:noProof/>
              <w:color w:val="auto"/>
            </w:rPr>
          </w:pPr>
          <w:hyperlink w:anchor="_Toc219973373" w:history="1">
            <w:r w:rsidRPr="00954664">
              <w:rPr>
                <w:rStyle w:val="Hyperlink"/>
                <w:noProof/>
              </w:rPr>
              <w:t>5.1 Data Protection Impact Assessment</w:t>
            </w:r>
            <w:r>
              <w:rPr>
                <w:noProof/>
                <w:webHidden/>
              </w:rPr>
              <w:tab/>
            </w:r>
            <w:r>
              <w:rPr>
                <w:noProof/>
                <w:webHidden/>
              </w:rPr>
              <w:fldChar w:fldCharType="begin"/>
            </w:r>
            <w:r>
              <w:rPr>
                <w:noProof/>
                <w:webHidden/>
              </w:rPr>
              <w:instrText xml:space="preserve"> PAGEREF _Toc219973373 \h </w:instrText>
            </w:r>
            <w:r>
              <w:rPr>
                <w:noProof/>
                <w:webHidden/>
              </w:rPr>
            </w:r>
            <w:r>
              <w:rPr>
                <w:noProof/>
                <w:webHidden/>
              </w:rPr>
              <w:fldChar w:fldCharType="separate"/>
            </w:r>
            <w:r>
              <w:rPr>
                <w:noProof/>
                <w:webHidden/>
              </w:rPr>
              <w:t>9</w:t>
            </w:r>
            <w:r>
              <w:rPr>
                <w:noProof/>
                <w:webHidden/>
              </w:rPr>
              <w:fldChar w:fldCharType="end"/>
            </w:r>
          </w:hyperlink>
        </w:p>
        <w:p w14:paraId="684B4F3D" w14:textId="383DC557" w:rsidR="00D21630" w:rsidRDefault="00D21630">
          <w:pPr>
            <w:pStyle w:val="TOC1"/>
            <w:tabs>
              <w:tab w:val="right" w:leader="dot" w:pos="9466"/>
            </w:tabs>
            <w:rPr>
              <w:rFonts w:asciiTheme="minorHAnsi" w:eastAsiaTheme="minorEastAsia" w:hAnsiTheme="minorHAnsi" w:cstheme="minorBidi"/>
              <w:noProof/>
              <w:color w:val="auto"/>
            </w:rPr>
          </w:pPr>
          <w:hyperlink w:anchor="_Toc219973374" w:history="1">
            <w:r w:rsidRPr="00954664">
              <w:rPr>
                <w:rStyle w:val="Hyperlink"/>
                <w:noProof/>
              </w:rPr>
              <w:t>6.0 Security Reports and Audits</w:t>
            </w:r>
            <w:r>
              <w:rPr>
                <w:noProof/>
                <w:webHidden/>
              </w:rPr>
              <w:tab/>
            </w:r>
            <w:r>
              <w:rPr>
                <w:noProof/>
                <w:webHidden/>
              </w:rPr>
              <w:fldChar w:fldCharType="begin"/>
            </w:r>
            <w:r>
              <w:rPr>
                <w:noProof/>
                <w:webHidden/>
              </w:rPr>
              <w:instrText xml:space="preserve"> PAGEREF _Toc219973374 \h </w:instrText>
            </w:r>
            <w:r>
              <w:rPr>
                <w:noProof/>
                <w:webHidden/>
              </w:rPr>
            </w:r>
            <w:r>
              <w:rPr>
                <w:noProof/>
                <w:webHidden/>
              </w:rPr>
              <w:fldChar w:fldCharType="separate"/>
            </w:r>
            <w:r>
              <w:rPr>
                <w:noProof/>
                <w:webHidden/>
              </w:rPr>
              <w:t>10</w:t>
            </w:r>
            <w:r>
              <w:rPr>
                <w:noProof/>
                <w:webHidden/>
              </w:rPr>
              <w:fldChar w:fldCharType="end"/>
            </w:r>
          </w:hyperlink>
        </w:p>
        <w:p w14:paraId="2C2BD471" w14:textId="0567F649" w:rsidR="00D21630" w:rsidRDefault="00D21630">
          <w:pPr>
            <w:pStyle w:val="TOC1"/>
            <w:tabs>
              <w:tab w:val="right" w:leader="dot" w:pos="9466"/>
            </w:tabs>
            <w:rPr>
              <w:rFonts w:asciiTheme="minorHAnsi" w:eastAsiaTheme="minorEastAsia" w:hAnsiTheme="minorHAnsi" w:cstheme="minorBidi"/>
              <w:noProof/>
              <w:color w:val="auto"/>
            </w:rPr>
          </w:pPr>
          <w:hyperlink w:anchor="_Toc219973375" w:history="1">
            <w:r w:rsidRPr="00954664">
              <w:rPr>
                <w:rStyle w:val="Hyperlink"/>
                <w:noProof/>
              </w:rPr>
              <w:t>7.0 LIMITATION OF LIABILITY</w:t>
            </w:r>
            <w:r>
              <w:rPr>
                <w:noProof/>
                <w:webHidden/>
              </w:rPr>
              <w:tab/>
            </w:r>
            <w:r>
              <w:rPr>
                <w:noProof/>
                <w:webHidden/>
              </w:rPr>
              <w:fldChar w:fldCharType="begin"/>
            </w:r>
            <w:r>
              <w:rPr>
                <w:noProof/>
                <w:webHidden/>
              </w:rPr>
              <w:instrText xml:space="preserve"> PAGEREF _Toc219973375 \h </w:instrText>
            </w:r>
            <w:r>
              <w:rPr>
                <w:noProof/>
                <w:webHidden/>
              </w:rPr>
            </w:r>
            <w:r>
              <w:rPr>
                <w:noProof/>
                <w:webHidden/>
              </w:rPr>
              <w:fldChar w:fldCharType="separate"/>
            </w:r>
            <w:r>
              <w:rPr>
                <w:noProof/>
                <w:webHidden/>
              </w:rPr>
              <w:t>10</w:t>
            </w:r>
            <w:r>
              <w:rPr>
                <w:noProof/>
                <w:webHidden/>
              </w:rPr>
              <w:fldChar w:fldCharType="end"/>
            </w:r>
          </w:hyperlink>
        </w:p>
        <w:p w14:paraId="2881C181" w14:textId="7D75EE19" w:rsidR="00D21630" w:rsidRDefault="00D21630">
          <w:pPr>
            <w:pStyle w:val="TOC1"/>
            <w:tabs>
              <w:tab w:val="right" w:leader="dot" w:pos="9466"/>
            </w:tabs>
            <w:rPr>
              <w:rFonts w:asciiTheme="minorHAnsi" w:eastAsiaTheme="minorEastAsia" w:hAnsiTheme="minorHAnsi" w:cstheme="minorBidi"/>
              <w:noProof/>
              <w:color w:val="auto"/>
            </w:rPr>
          </w:pPr>
          <w:hyperlink w:anchor="_Toc219973376" w:history="1">
            <w:r w:rsidRPr="00954664">
              <w:rPr>
                <w:rStyle w:val="Hyperlink"/>
                <w:noProof/>
              </w:rPr>
              <w:t>Exhibit 1 - Description of Processing Activities </w:t>
            </w:r>
            <w:r>
              <w:rPr>
                <w:noProof/>
                <w:webHidden/>
              </w:rPr>
              <w:tab/>
            </w:r>
            <w:r>
              <w:rPr>
                <w:noProof/>
                <w:webHidden/>
              </w:rPr>
              <w:fldChar w:fldCharType="begin"/>
            </w:r>
            <w:r>
              <w:rPr>
                <w:noProof/>
                <w:webHidden/>
              </w:rPr>
              <w:instrText xml:space="preserve"> PAGEREF _Toc219973376 \h </w:instrText>
            </w:r>
            <w:r>
              <w:rPr>
                <w:noProof/>
                <w:webHidden/>
              </w:rPr>
            </w:r>
            <w:r>
              <w:rPr>
                <w:noProof/>
                <w:webHidden/>
              </w:rPr>
              <w:fldChar w:fldCharType="separate"/>
            </w:r>
            <w:r>
              <w:rPr>
                <w:noProof/>
                <w:webHidden/>
              </w:rPr>
              <w:t>11</w:t>
            </w:r>
            <w:r>
              <w:rPr>
                <w:noProof/>
                <w:webHidden/>
              </w:rPr>
              <w:fldChar w:fldCharType="end"/>
            </w:r>
          </w:hyperlink>
        </w:p>
        <w:p w14:paraId="14E92C29" w14:textId="12843E42" w:rsidR="00D21630" w:rsidRDefault="00D21630">
          <w:pPr>
            <w:pStyle w:val="TOC2"/>
            <w:tabs>
              <w:tab w:val="right" w:leader="dot" w:pos="9466"/>
            </w:tabs>
            <w:rPr>
              <w:rFonts w:asciiTheme="minorHAnsi" w:eastAsiaTheme="minorEastAsia" w:hAnsiTheme="minorHAnsi" w:cstheme="minorBidi"/>
              <w:noProof/>
              <w:color w:val="auto"/>
            </w:rPr>
          </w:pPr>
          <w:hyperlink w:anchor="_Toc219973377" w:history="1">
            <w:r w:rsidRPr="00954664">
              <w:rPr>
                <w:rStyle w:val="Hyperlink"/>
                <w:noProof/>
              </w:rPr>
              <w:t>Annex I</w:t>
            </w:r>
            <w:r>
              <w:rPr>
                <w:noProof/>
                <w:webHidden/>
              </w:rPr>
              <w:tab/>
            </w:r>
            <w:r>
              <w:rPr>
                <w:noProof/>
                <w:webHidden/>
              </w:rPr>
              <w:fldChar w:fldCharType="begin"/>
            </w:r>
            <w:r>
              <w:rPr>
                <w:noProof/>
                <w:webHidden/>
              </w:rPr>
              <w:instrText xml:space="preserve"> PAGEREF _Toc219973377 \h </w:instrText>
            </w:r>
            <w:r>
              <w:rPr>
                <w:noProof/>
                <w:webHidden/>
              </w:rPr>
            </w:r>
            <w:r>
              <w:rPr>
                <w:noProof/>
                <w:webHidden/>
              </w:rPr>
              <w:fldChar w:fldCharType="separate"/>
            </w:r>
            <w:r>
              <w:rPr>
                <w:noProof/>
                <w:webHidden/>
              </w:rPr>
              <w:t>11</w:t>
            </w:r>
            <w:r>
              <w:rPr>
                <w:noProof/>
                <w:webHidden/>
              </w:rPr>
              <w:fldChar w:fldCharType="end"/>
            </w:r>
          </w:hyperlink>
        </w:p>
        <w:p w14:paraId="504FE082" w14:textId="39F32157" w:rsidR="00D21630" w:rsidRDefault="00D21630">
          <w:pPr>
            <w:pStyle w:val="TOC1"/>
            <w:tabs>
              <w:tab w:val="right" w:leader="dot" w:pos="9466"/>
            </w:tabs>
            <w:rPr>
              <w:rFonts w:asciiTheme="minorHAnsi" w:eastAsiaTheme="minorEastAsia" w:hAnsiTheme="minorHAnsi" w:cstheme="minorBidi"/>
              <w:noProof/>
              <w:color w:val="auto"/>
            </w:rPr>
          </w:pPr>
          <w:hyperlink w:anchor="_Toc219973378" w:history="1">
            <w:r w:rsidRPr="00954664">
              <w:rPr>
                <w:rStyle w:val="Hyperlink"/>
                <w:noProof/>
              </w:rPr>
              <w:t>Exhibit 2 - Technical and Organizational Measures</w:t>
            </w:r>
            <w:r>
              <w:rPr>
                <w:noProof/>
                <w:webHidden/>
              </w:rPr>
              <w:tab/>
            </w:r>
            <w:r>
              <w:rPr>
                <w:noProof/>
                <w:webHidden/>
              </w:rPr>
              <w:fldChar w:fldCharType="begin"/>
            </w:r>
            <w:r>
              <w:rPr>
                <w:noProof/>
                <w:webHidden/>
              </w:rPr>
              <w:instrText xml:space="preserve"> PAGEREF _Toc219973378 \h </w:instrText>
            </w:r>
            <w:r>
              <w:rPr>
                <w:noProof/>
                <w:webHidden/>
              </w:rPr>
            </w:r>
            <w:r>
              <w:rPr>
                <w:noProof/>
                <w:webHidden/>
              </w:rPr>
              <w:fldChar w:fldCharType="separate"/>
            </w:r>
            <w:r>
              <w:rPr>
                <w:noProof/>
                <w:webHidden/>
              </w:rPr>
              <w:t>2</w:t>
            </w:r>
            <w:r>
              <w:rPr>
                <w:noProof/>
                <w:webHidden/>
              </w:rPr>
              <w:fldChar w:fldCharType="end"/>
            </w:r>
          </w:hyperlink>
        </w:p>
        <w:p w14:paraId="2364BD3C" w14:textId="680957A3" w:rsidR="00D21630" w:rsidRDefault="00D21630">
          <w:pPr>
            <w:pStyle w:val="TOC1"/>
            <w:tabs>
              <w:tab w:val="right" w:leader="dot" w:pos="9466"/>
            </w:tabs>
            <w:rPr>
              <w:rFonts w:asciiTheme="minorHAnsi" w:eastAsiaTheme="minorEastAsia" w:hAnsiTheme="minorHAnsi" w:cstheme="minorBidi"/>
              <w:noProof/>
              <w:color w:val="auto"/>
            </w:rPr>
          </w:pPr>
          <w:hyperlink w:anchor="_Toc219973379" w:history="1">
            <w:r w:rsidRPr="00954664">
              <w:rPr>
                <w:rStyle w:val="Hyperlink"/>
                <w:noProof/>
              </w:rPr>
              <w:t>Exhibit 3 - Sub-processors </w:t>
            </w:r>
            <w:r>
              <w:rPr>
                <w:noProof/>
                <w:webHidden/>
              </w:rPr>
              <w:tab/>
            </w:r>
            <w:r>
              <w:rPr>
                <w:noProof/>
                <w:webHidden/>
              </w:rPr>
              <w:fldChar w:fldCharType="begin"/>
            </w:r>
            <w:r>
              <w:rPr>
                <w:noProof/>
                <w:webHidden/>
              </w:rPr>
              <w:instrText xml:space="preserve"> PAGEREF _Toc219973379 \h </w:instrText>
            </w:r>
            <w:r>
              <w:rPr>
                <w:noProof/>
                <w:webHidden/>
              </w:rPr>
            </w:r>
            <w:r>
              <w:rPr>
                <w:noProof/>
                <w:webHidden/>
              </w:rPr>
              <w:fldChar w:fldCharType="separate"/>
            </w:r>
            <w:r>
              <w:rPr>
                <w:noProof/>
                <w:webHidden/>
              </w:rPr>
              <w:t>3</w:t>
            </w:r>
            <w:r>
              <w:rPr>
                <w:noProof/>
                <w:webHidden/>
              </w:rPr>
              <w:fldChar w:fldCharType="end"/>
            </w:r>
          </w:hyperlink>
        </w:p>
        <w:p w14:paraId="6ABC70C0" w14:textId="01F293E0" w:rsidR="00D21630" w:rsidRDefault="00D21630">
          <w:pPr>
            <w:pStyle w:val="TOC1"/>
            <w:tabs>
              <w:tab w:val="right" w:leader="dot" w:pos="9466"/>
            </w:tabs>
            <w:rPr>
              <w:rFonts w:asciiTheme="minorHAnsi" w:eastAsiaTheme="minorEastAsia" w:hAnsiTheme="minorHAnsi" w:cstheme="minorBidi"/>
              <w:noProof/>
              <w:color w:val="auto"/>
            </w:rPr>
          </w:pPr>
          <w:hyperlink w:anchor="_Toc219973380" w:history="1">
            <w:r w:rsidRPr="00954664">
              <w:rPr>
                <w:rStyle w:val="Hyperlink"/>
                <w:noProof/>
              </w:rPr>
              <w:t>Exhibit 4 - Standard Contractual Clauses</w:t>
            </w:r>
            <w:r>
              <w:rPr>
                <w:noProof/>
                <w:webHidden/>
              </w:rPr>
              <w:tab/>
            </w:r>
            <w:r>
              <w:rPr>
                <w:noProof/>
                <w:webHidden/>
              </w:rPr>
              <w:fldChar w:fldCharType="begin"/>
            </w:r>
            <w:r>
              <w:rPr>
                <w:noProof/>
                <w:webHidden/>
              </w:rPr>
              <w:instrText xml:space="preserve"> PAGEREF _Toc219973380 \h </w:instrText>
            </w:r>
            <w:r>
              <w:rPr>
                <w:noProof/>
                <w:webHidden/>
              </w:rPr>
            </w:r>
            <w:r>
              <w:rPr>
                <w:noProof/>
                <w:webHidden/>
              </w:rPr>
              <w:fldChar w:fldCharType="separate"/>
            </w:r>
            <w:r>
              <w:rPr>
                <w:noProof/>
                <w:webHidden/>
              </w:rPr>
              <w:t>4</w:t>
            </w:r>
            <w:r>
              <w:rPr>
                <w:noProof/>
                <w:webHidden/>
              </w:rPr>
              <w:fldChar w:fldCharType="end"/>
            </w:r>
          </w:hyperlink>
        </w:p>
        <w:p w14:paraId="492A55AE" w14:textId="5A3E5A4D" w:rsidR="00697357" w:rsidRPr="007A548E" w:rsidRDefault="00697357">
          <w:r w:rsidRPr="007A548E">
            <w:rPr>
              <w:b/>
              <w:bCs/>
              <w:noProof/>
            </w:rPr>
            <w:fldChar w:fldCharType="end"/>
          </w:r>
        </w:p>
      </w:sdtContent>
    </w:sdt>
    <w:p w14:paraId="78A9BCA8" w14:textId="2E13DAAE" w:rsidR="004D6C46" w:rsidRPr="007A548E" w:rsidRDefault="004D6C46">
      <w:pPr>
        <w:spacing w:after="0" w:line="259" w:lineRule="auto"/>
        <w:ind w:left="120" w:firstLine="0"/>
        <w:rPr>
          <w:b/>
          <w:sz w:val="36"/>
        </w:rPr>
      </w:pPr>
    </w:p>
    <w:p w14:paraId="73AFE4BF" w14:textId="77777777" w:rsidR="004D6C46" w:rsidRPr="007A548E" w:rsidRDefault="004D6C46">
      <w:pPr>
        <w:spacing w:after="0" w:line="259" w:lineRule="auto"/>
        <w:ind w:left="120" w:firstLine="0"/>
        <w:rPr>
          <w:b/>
          <w:sz w:val="36"/>
        </w:rPr>
      </w:pPr>
    </w:p>
    <w:p w14:paraId="48340580" w14:textId="77777777" w:rsidR="00BD67D2" w:rsidRPr="007A548E" w:rsidRDefault="00BD67D2">
      <w:pPr>
        <w:spacing w:after="0" w:line="259" w:lineRule="auto"/>
        <w:ind w:left="120" w:firstLine="0"/>
        <w:rPr>
          <w:b/>
          <w:sz w:val="36"/>
        </w:rPr>
      </w:pPr>
    </w:p>
    <w:p w14:paraId="623B2A3E" w14:textId="77777777" w:rsidR="00BD67D2" w:rsidRPr="007A548E" w:rsidRDefault="00BD67D2">
      <w:pPr>
        <w:spacing w:after="0" w:line="259" w:lineRule="auto"/>
        <w:ind w:left="120" w:firstLine="0"/>
        <w:rPr>
          <w:b/>
          <w:sz w:val="36"/>
        </w:rPr>
      </w:pPr>
    </w:p>
    <w:p w14:paraId="204EF93D" w14:textId="77777777" w:rsidR="004D6C46" w:rsidRPr="007A548E" w:rsidRDefault="004D6C46">
      <w:pPr>
        <w:spacing w:after="0" w:line="259" w:lineRule="auto"/>
        <w:ind w:left="120" w:firstLine="0"/>
        <w:rPr>
          <w:b/>
          <w:sz w:val="36"/>
        </w:rPr>
      </w:pPr>
    </w:p>
    <w:p w14:paraId="62FD31B2" w14:textId="0AC0C4EA" w:rsidR="002D05BD" w:rsidRPr="007A548E" w:rsidRDefault="007049B4">
      <w:pPr>
        <w:spacing w:after="0" w:line="259" w:lineRule="auto"/>
        <w:ind w:left="120" w:firstLine="0"/>
      </w:pPr>
      <w:r w:rsidRPr="007A548E">
        <w:rPr>
          <w:b/>
          <w:sz w:val="36"/>
        </w:rPr>
        <w:tab/>
      </w:r>
      <w:r w:rsidRPr="007A548E">
        <w:t xml:space="preserve"> </w:t>
      </w:r>
    </w:p>
    <w:p w14:paraId="26685335" w14:textId="77777777" w:rsidR="002D05BD" w:rsidRPr="007A548E" w:rsidRDefault="007049B4">
      <w:pPr>
        <w:pStyle w:val="Heading1"/>
        <w:spacing w:after="68"/>
        <w:ind w:left="115"/>
      </w:pPr>
      <w:bookmarkStart w:id="0" w:name="_Toc219973360"/>
      <w:r w:rsidRPr="007A548E">
        <w:lastRenderedPageBreak/>
        <w:t>Introduction</w:t>
      </w:r>
      <w:bookmarkEnd w:id="0"/>
      <w:r w:rsidRPr="007A548E">
        <w:t xml:space="preserve">  </w:t>
      </w:r>
    </w:p>
    <w:p w14:paraId="0B4CCE0E" w14:textId="77777777" w:rsidR="002D05BD" w:rsidRPr="007A548E" w:rsidRDefault="007049B4">
      <w:pPr>
        <w:spacing w:after="0"/>
        <w:ind w:right="116"/>
      </w:pPr>
      <w:r w:rsidRPr="007A548E">
        <w:t xml:space="preserve">This Data Processing Agreement (“DPA”), by and between </w:t>
      </w:r>
      <w:proofErr w:type="spellStart"/>
      <w:r w:rsidRPr="007A548E">
        <w:t>Energage</w:t>
      </w:r>
      <w:proofErr w:type="spellEnd"/>
      <w:r w:rsidRPr="007A548E">
        <w:t>, LLC (“</w:t>
      </w:r>
      <w:proofErr w:type="spellStart"/>
      <w:r w:rsidRPr="007A548E">
        <w:t>Energage</w:t>
      </w:r>
      <w:proofErr w:type="spellEnd"/>
      <w:r w:rsidRPr="007A548E">
        <w:t xml:space="preserve">”) and the </w:t>
      </w:r>
      <w:proofErr w:type="spellStart"/>
      <w:r w:rsidRPr="007A548E">
        <w:t>Energage</w:t>
      </w:r>
      <w:proofErr w:type="spellEnd"/>
      <w:r w:rsidRPr="007A548E">
        <w:t xml:space="preserve"> Controller or Customer (“Controller” or “Customer”) identified on the </w:t>
      </w:r>
      <w:r w:rsidRPr="007A548E">
        <w:t xml:space="preserve">applicable </w:t>
      </w:r>
      <w:proofErr w:type="spellStart"/>
      <w:r w:rsidRPr="007A548E">
        <w:t>Energage</w:t>
      </w:r>
      <w:proofErr w:type="spellEnd"/>
      <w:r w:rsidRPr="007A548E">
        <w:t xml:space="preserve"> Subscription Agreement or other ordering document (the </w:t>
      </w:r>
    </w:p>
    <w:p w14:paraId="1C89B299" w14:textId="77777777" w:rsidR="002D05BD" w:rsidRPr="007A548E" w:rsidRDefault="007049B4">
      <w:pPr>
        <w:spacing w:after="543"/>
        <w:ind w:right="6"/>
      </w:pPr>
      <w:r w:rsidRPr="007A548E">
        <w:t>“Agreement”)</w:t>
      </w:r>
      <w:r w:rsidRPr="007A548E">
        <w:t xml:space="preserve"> and is intended to ensure that Processing is conducted in accordance with applicable data protection laws and respects the rights of individuals whose Personal Data </w:t>
      </w:r>
      <w:r w:rsidRPr="007A548E">
        <w:t xml:space="preserve">is Processed under the Agreement.  Any terms not defined in this DPA shall have the </w:t>
      </w:r>
      <w:r w:rsidRPr="007A548E">
        <w:t xml:space="preserve">meaning assigned to them in the Agreement.   </w:t>
      </w:r>
    </w:p>
    <w:p w14:paraId="6995644E" w14:textId="77777777" w:rsidR="002D05BD" w:rsidRPr="007A548E" w:rsidRDefault="007049B4">
      <w:pPr>
        <w:pStyle w:val="Heading1"/>
        <w:ind w:left="115"/>
      </w:pPr>
      <w:bookmarkStart w:id="1" w:name="_Toc219973361"/>
      <w:r w:rsidRPr="007A548E">
        <w:t>1.0 Definitions</w:t>
      </w:r>
      <w:bookmarkEnd w:id="1"/>
      <w:r w:rsidRPr="007A548E">
        <w:t xml:space="preserve">  </w:t>
      </w:r>
    </w:p>
    <w:p w14:paraId="2336048A" w14:textId="77777777" w:rsidR="002D05BD" w:rsidRPr="007A548E" w:rsidRDefault="007049B4">
      <w:pPr>
        <w:spacing w:after="18" w:line="259" w:lineRule="auto"/>
        <w:ind w:left="841" w:firstLine="0"/>
      </w:pPr>
      <w:r w:rsidRPr="007A548E">
        <w:t xml:space="preserve"> </w:t>
      </w:r>
    </w:p>
    <w:p w14:paraId="6A58F3CD" w14:textId="77777777" w:rsidR="002D05BD" w:rsidRPr="007A548E" w:rsidRDefault="007049B4">
      <w:pPr>
        <w:numPr>
          <w:ilvl w:val="0"/>
          <w:numId w:val="1"/>
        </w:numPr>
        <w:ind w:right="6" w:hanging="481"/>
      </w:pPr>
      <w:r w:rsidRPr="007A548E">
        <w:rPr>
          <w:b/>
        </w:rPr>
        <w:t xml:space="preserve">“Agreement” </w:t>
      </w:r>
      <w:r w:rsidRPr="007A548E">
        <w:t xml:space="preserve">means </w:t>
      </w:r>
      <w:proofErr w:type="spellStart"/>
      <w:r w:rsidRPr="007A548E">
        <w:t>Energage’s</w:t>
      </w:r>
      <w:proofErr w:type="spellEnd"/>
      <w:r w:rsidRPr="007A548E">
        <w:t xml:space="preserve"> General Terms, or other written or electronic </w:t>
      </w:r>
      <w:r w:rsidRPr="007A548E">
        <w:t xml:space="preserve">agreement, which govern the provision of the Service to Controller, as such terms or agreement may be updated from time to time. </w:t>
      </w:r>
    </w:p>
    <w:p w14:paraId="718DFF39" w14:textId="77777777" w:rsidR="002D05BD" w:rsidRPr="007A548E" w:rsidRDefault="007049B4">
      <w:pPr>
        <w:numPr>
          <w:ilvl w:val="0"/>
          <w:numId w:val="1"/>
        </w:numPr>
        <w:ind w:right="6" w:hanging="481"/>
      </w:pPr>
      <w:r w:rsidRPr="007A548E">
        <w:rPr>
          <w:b/>
        </w:rPr>
        <w:t>“Controller”</w:t>
      </w:r>
      <w:r w:rsidRPr="007A548E">
        <w:t xml:space="preserve"> means the natural or legal person, customer, public authority, agency or other body which, alone or jointly with others, determines the purposes and means of the processing of personal data. </w:t>
      </w:r>
    </w:p>
    <w:p w14:paraId="6F85224B" w14:textId="77777777" w:rsidR="002D05BD" w:rsidRPr="007A548E" w:rsidRDefault="007049B4">
      <w:pPr>
        <w:numPr>
          <w:ilvl w:val="0"/>
          <w:numId w:val="1"/>
        </w:numPr>
        <w:spacing w:after="38" w:line="240" w:lineRule="auto"/>
        <w:ind w:right="6" w:hanging="481"/>
      </w:pPr>
      <w:r w:rsidRPr="007A548E">
        <w:rPr>
          <w:b/>
        </w:rPr>
        <w:t xml:space="preserve">“CCPA” </w:t>
      </w:r>
      <w:r w:rsidRPr="007A548E">
        <w:t xml:space="preserve">means the California Consumer Privacy Act of 2018 (California Civil Code § </w:t>
      </w:r>
      <w:r w:rsidRPr="007A548E">
        <w:t xml:space="preserve">1798.100 et seq.), as amended by the California Privacy Rights Act “CPRA” of 2020, </w:t>
      </w:r>
      <w:r w:rsidRPr="007A548E">
        <w:t xml:space="preserve">and its implementing regulations. </w:t>
      </w:r>
    </w:p>
    <w:p w14:paraId="6181895C" w14:textId="77777777" w:rsidR="002D05BD" w:rsidRPr="007A548E" w:rsidRDefault="007049B4">
      <w:pPr>
        <w:numPr>
          <w:ilvl w:val="0"/>
          <w:numId w:val="1"/>
        </w:numPr>
        <w:ind w:right="6" w:hanging="481"/>
      </w:pPr>
      <w:r w:rsidRPr="007A548E">
        <w:rPr>
          <w:b/>
        </w:rPr>
        <w:t>"Data Protection Laws"</w:t>
      </w:r>
      <w:r w:rsidRPr="007A548E">
        <w:t xml:space="preserve"> means all laws and regulations relating to or impacting the Processing, privacy or security of Personal Data, in each case as may be amended or replaced from time to time, including (a) EU Data Protection Laws, (c) Swiss Data Protection Laws, (d) UK Data Protection Laws, and (d) the CCPA. </w:t>
      </w:r>
    </w:p>
    <w:p w14:paraId="417F80D6" w14:textId="77777777" w:rsidR="002D05BD" w:rsidRPr="007A548E" w:rsidRDefault="007049B4">
      <w:pPr>
        <w:numPr>
          <w:ilvl w:val="0"/>
          <w:numId w:val="1"/>
        </w:numPr>
        <w:spacing w:after="28"/>
        <w:ind w:right="6" w:hanging="481"/>
      </w:pPr>
      <w:r w:rsidRPr="007A548E">
        <w:rPr>
          <w:b/>
        </w:rPr>
        <w:t xml:space="preserve">“Data Subject Request” </w:t>
      </w:r>
      <w:r w:rsidRPr="007A548E">
        <w:t xml:space="preserve">means a request by a Data Subject to exercise rights </w:t>
      </w:r>
      <w:r w:rsidRPr="007A548E">
        <w:t>afforded by Data Protection Laws with respect to the Data Subject’s Personal Data.</w:t>
      </w:r>
      <w:r w:rsidRPr="007A548E">
        <w:t xml:space="preserve"> </w:t>
      </w:r>
    </w:p>
    <w:p w14:paraId="537E7998" w14:textId="77777777" w:rsidR="002D05BD" w:rsidRPr="007A548E" w:rsidRDefault="007049B4">
      <w:pPr>
        <w:numPr>
          <w:ilvl w:val="0"/>
          <w:numId w:val="1"/>
        </w:numPr>
        <w:ind w:right="6" w:hanging="481"/>
      </w:pPr>
      <w:r w:rsidRPr="007A548E">
        <w:rPr>
          <w:b/>
        </w:rPr>
        <w:t>“Data Subject”</w:t>
      </w:r>
      <w:r w:rsidRPr="007A548E">
        <w:t xml:space="preserve"> </w:t>
      </w:r>
      <w:r w:rsidRPr="007A548E">
        <w:t xml:space="preserve">the individual or consumer who may be identified, directly or indirectly, </w:t>
      </w:r>
      <w:proofErr w:type="gramStart"/>
      <w:r w:rsidRPr="007A548E">
        <w:t>in particular by</w:t>
      </w:r>
      <w:proofErr w:type="gramEnd"/>
      <w:r w:rsidRPr="007A548E">
        <w:t xml:space="preserve"> reference to an identifier such as a name, an identification number, location data, or an online identifier. </w:t>
      </w:r>
    </w:p>
    <w:p w14:paraId="360B8C9E" w14:textId="77777777" w:rsidR="002D05BD" w:rsidRPr="007A548E" w:rsidRDefault="007049B4">
      <w:pPr>
        <w:numPr>
          <w:ilvl w:val="0"/>
          <w:numId w:val="1"/>
        </w:numPr>
        <w:ind w:right="6" w:hanging="481"/>
      </w:pPr>
      <w:r w:rsidRPr="007A548E">
        <w:rPr>
          <w:b/>
        </w:rPr>
        <w:t>“EU Data Protection Laws”</w:t>
      </w:r>
      <w:r w:rsidRPr="007A548E">
        <w:t xml:space="preserve"> means GDPR together with any applicable implementing legislation or regulations, as well as European Union or Member State laws, as amended from time to time. </w:t>
      </w:r>
    </w:p>
    <w:p w14:paraId="741E5F6A" w14:textId="77777777" w:rsidR="002D05BD" w:rsidRPr="007A548E" w:rsidRDefault="007049B4">
      <w:pPr>
        <w:numPr>
          <w:ilvl w:val="0"/>
          <w:numId w:val="1"/>
        </w:numPr>
        <w:ind w:right="6" w:hanging="481"/>
      </w:pPr>
      <w:r w:rsidRPr="007A548E">
        <w:rPr>
          <w:b/>
        </w:rPr>
        <w:t xml:space="preserve">“GDPR” </w:t>
      </w:r>
      <w:r w:rsidRPr="007A548E">
        <w:t xml:space="preserve">means the General Data Protection Regulation (Regulation (EU) 2016/679 of the European Parliament and of the Council of 27 April 2016 on the protection of natural persons </w:t>
      </w:r>
      <w:proofErr w:type="gramStart"/>
      <w:r w:rsidRPr="007A548E">
        <w:t>with regard to</w:t>
      </w:r>
      <w:proofErr w:type="gramEnd"/>
      <w:r w:rsidRPr="007A548E">
        <w:t xml:space="preserve"> the processing of personal data and on the free movement of such data.) </w:t>
      </w:r>
    </w:p>
    <w:p w14:paraId="4C3F536D" w14:textId="77777777" w:rsidR="002D05BD" w:rsidRPr="007A548E" w:rsidRDefault="007049B4">
      <w:pPr>
        <w:numPr>
          <w:ilvl w:val="0"/>
          <w:numId w:val="1"/>
        </w:numPr>
        <w:ind w:right="6" w:hanging="481"/>
      </w:pPr>
      <w:r w:rsidRPr="007A548E">
        <w:rPr>
          <w:b/>
        </w:rPr>
        <w:t xml:space="preserve">“Personal Data” </w:t>
      </w:r>
      <w:r w:rsidRPr="007A548E">
        <w:t xml:space="preserve">means any Controller Data relating to an identified or identifiable natural person that is Processed by </w:t>
      </w:r>
      <w:proofErr w:type="spellStart"/>
      <w:r w:rsidRPr="007A548E">
        <w:t>Energage</w:t>
      </w:r>
      <w:proofErr w:type="spellEnd"/>
      <w:r w:rsidRPr="007A548E">
        <w:t xml:space="preserve"> on behalf of Controller in connection with providing the Services to Controller, when such information is protected as </w:t>
      </w:r>
      <w:r w:rsidRPr="007A548E">
        <w:t xml:space="preserve">“personal data” or “personal information” or a similar term under Data Protection </w:t>
      </w:r>
      <w:r w:rsidRPr="007A548E">
        <w:t xml:space="preserve">Law(s). </w:t>
      </w:r>
    </w:p>
    <w:p w14:paraId="3470686C" w14:textId="77777777" w:rsidR="002D05BD" w:rsidRPr="007A548E" w:rsidRDefault="007049B4">
      <w:pPr>
        <w:numPr>
          <w:ilvl w:val="0"/>
          <w:numId w:val="1"/>
        </w:numPr>
        <w:ind w:right="6" w:hanging="481"/>
      </w:pPr>
      <w:r w:rsidRPr="007A548E">
        <w:rPr>
          <w:b/>
        </w:rPr>
        <w:lastRenderedPageBreak/>
        <w:t>“Process”</w:t>
      </w:r>
      <w:r w:rsidRPr="007A548E">
        <w:t xml:space="preserve"> or </w:t>
      </w:r>
      <w:r w:rsidRPr="007A548E">
        <w:rPr>
          <w:b/>
        </w:rPr>
        <w:t>“Processing”</w:t>
      </w:r>
      <w:r w:rsidRPr="007A548E">
        <w:t xml:space="preserve"> means any operation or set of operations which is performed upon Personal Data, </w:t>
      </w:r>
      <w:proofErr w:type="gramStart"/>
      <w:r w:rsidRPr="007A548E">
        <w:t>whether or not</w:t>
      </w:r>
      <w:proofErr w:type="gramEnd"/>
      <w:r w:rsidRPr="007A548E">
        <w:t xml:space="preserve"> by automatic means, such as collection, recording, organization, storage, adaptation or alteration, retrieval, consultation, use, disclosure by transmission, dissemination or otherwise making available, alignment or combination, blocking, erasure or destruction. </w:t>
      </w:r>
    </w:p>
    <w:p w14:paraId="5762B952" w14:textId="77777777" w:rsidR="002D05BD" w:rsidRPr="007A548E" w:rsidRDefault="007049B4">
      <w:pPr>
        <w:numPr>
          <w:ilvl w:val="0"/>
          <w:numId w:val="1"/>
        </w:numPr>
        <w:ind w:right="6" w:hanging="481"/>
      </w:pPr>
      <w:r w:rsidRPr="007A548E">
        <w:rPr>
          <w:b/>
        </w:rPr>
        <w:t xml:space="preserve">“Processor” </w:t>
      </w:r>
      <w:r w:rsidRPr="007A548E">
        <w:t xml:space="preserve">a natural or legal person, public authority, agency or other body which processes personal data on behalf of the controller. </w:t>
      </w:r>
    </w:p>
    <w:p w14:paraId="016C6093" w14:textId="77777777" w:rsidR="002D05BD" w:rsidRPr="007A548E" w:rsidRDefault="007049B4">
      <w:pPr>
        <w:numPr>
          <w:ilvl w:val="0"/>
          <w:numId w:val="1"/>
        </w:numPr>
        <w:ind w:right="6" w:hanging="481"/>
      </w:pPr>
      <w:r w:rsidRPr="007A548E">
        <w:rPr>
          <w:b/>
        </w:rPr>
        <w:t xml:space="preserve">“Security Breach” </w:t>
      </w:r>
      <w:r w:rsidRPr="007A548E">
        <w:t xml:space="preserve">or </w:t>
      </w:r>
      <w:r w:rsidRPr="007A548E">
        <w:rPr>
          <w:b/>
        </w:rPr>
        <w:t>“Personal Data Breach”</w:t>
      </w:r>
      <w:r w:rsidRPr="007A548E">
        <w:t xml:space="preserve"> means a confirmed breach of </w:t>
      </w:r>
      <w:proofErr w:type="spellStart"/>
      <w:r w:rsidRPr="007A548E">
        <w:t>Energage’s</w:t>
      </w:r>
      <w:proofErr w:type="spellEnd"/>
      <w:r w:rsidRPr="007A548E">
        <w:t xml:space="preserve"> information security measures leading to the accidental or unlawful </w:t>
      </w:r>
      <w:r w:rsidRPr="007A548E">
        <w:t xml:space="preserve">destruction, loss, alteration, unauthorized disclosure of, or access to Personal Data covered by this DPA. </w:t>
      </w:r>
    </w:p>
    <w:p w14:paraId="35C19C74" w14:textId="77777777" w:rsidR="002D05BD" w:rsidRPr="007A548E" w:rsidRDefault="007049B4">
      <w:pPr>
        <w:numPr>
          <w:ilvl w:val="0"/>
          <w:numId w:val="1"/>
        </w:numPr>
        <w:ind w:right="6" w:hanging="481"/>
      </w:pPr>
      <w:r w:rsidRPr="007A548E">
        <w:rPr>
          <w:b/>
        </w:rPr>
        <w:t>“Services”</w:t>
      </w:r>
      <w:r w:rsidRPr="007A548E">
        <w:t xml:space="preserve"> means the services provided by </w:t>
      </w:r>
      <w:proofErr w:type="spellStart"/>
      <w:r w:rsidRPr="007A548E">
        <w:t>Energage</w:t>
      </w:r>
      <w:proofErr w:type="spellEnd"/>
      <w:r w:rsidRPr="007A548E">
        <w:t xml:space="preserve"> to Controller under the Agreement. </w:t>
      </w:r>
    </w:p>
    <w:p w14:paraId="5F9BD8B2" w14:textId="77777777" w:rsidR="002D05BD" w:rsidRPr="007A548E" w:rsidRDefault="007049B4">
      <w:pPr>
        <w:numPr>
          <w:ilvl w:val="0"/>
          <w:numId w:val="1"/>
        </w:numPr>
        <w:ind w:right="6" w:hanging="481"/>
      </w:pPr>
      <w:r w:rsidRPr="007A548E">
        <w:rPr>
          <w:b/>
        </w:rPr>
        <w:t>“Standard Contractual Clauses”</w:t>
      </w:r>
      <w:r w:rsidRPr="007A548E">
        <w:t xml:space="preserve"> or </w:t>
      </w:r>
      <w:r w:rsidRPr="007A548E">
        <w:rPr>
          <w:b/>
        </w:rPr>
        <w:t>“SCCs”</w:t>
      </w:r>
      <w:r w:rsidRPr="007A548E">
        <w:t xml:space="preserve"> means the model clauses for the transfer of Personal Data to processors established in third countries approved by the European Commission, the approved version of which is set out in the European Commission Implementing Decision 2021/914 of 4 June 2021. </w:t>
      </w:r>
    </w:p>
    <w:p w14:paraId="78D4FFB3" w14:textId="77777777" w:rsidR="002D05BD" w:rsidRPr="007A548E" w:rsidRDefault="007049B4">
      <w:pPr>
        <w:numPr>
          <w:ilvl w:val="0"/>
          <w:numId w:val="1"/>
        </w:numPr>
        <w:ind w:right="6" w:hanging="481"/>
      </w:pPr>
      <w:r w:rsidRPr="007A548E">
        <w:rPr>
          <w:b/>
        </w:rPr>
        <w:t>“</w:t>
      </w:r>
      <w:proofErr w:type="spellStart"/>
      <w:r w:rsidRPr="007A548E">
        <w:rPr>
          <w:b/>
        </w:rPr>
        <w:t>Subprocessor</w:t>
      </w:r>
      <w:proofErr w:type="spellEnd"/>
      <w:r w:rsidRPr="007A548E">
        <w:rPr>
          <w:b/>
        </w:rPr>
        <w:t xml:space="preserve">” </w:t>
      </w:r>
      <w:r w:rsidRPr="007A548E">
        <w:t xml:space="preserve">means any person appointed by or on behalf of Processor to process Personal Data on behalf of </w:t>
      </w:r>
      <w:proofErr w:type="spellStart"/>
      <w:r w:rsidRPr="007A548E">
        <w:t>Energage</w:t>
      </w:r>
      <w:proofErr w:type="spellEnd"/>
      <w:r w:rsidRPr="007A548E">
        <w:t xml:space="preserve"> in connection with the Agreement. </w:t>
      </w:r>
    </w:p>
    <w:p w14:paraId="1E626A78" w14:textId="77777777" w:rsidR="002D05BD" w:rsidRPr="007A548E" w:rsidRDefault="007049B4">
      <w:pPr>
        <w:numPr>
          <w:ilvl w:val="0"/>
          <w:numId w:val="1"/>
        </w:numPr>
        <w:ind w:right="6" w:hanging="481"/>
      </w:pPr>
      <w:r w:rsidRPr="007A548E">
        <w:rPr>
          <w:b/>
        </w:rPr>
        <w:t xml:space="preserve">“Swiss Data Protection Laws” </w:t>
      </w:r>
      <w:r w:rsidRPr="007A548E">
        <w:t xml:space="preserve">means all laws relating to data protection, the Processing of Personal Data, privacy and/or electronic communications in force from time to time in Switzerland, including the Federal Act on Data Protection of June 19, 1992 and its ordinances, and, once it entered into force, in accordance with Article 16 paragraph 2 letter d of the future revised Swiss Federal Act on Data </w:t>
      </w:r>
      <w:r w:rsidRPr="007A548E">
        <w:t>Protection dated 25 September 2020 (collectively, “FADP” ).</w:t>
      </w:r>
      <w:r w:rsidRPr="007A548E">
        <w:t xml:space="preserve"> </w:t>
      </w:r>
    </w:p>
    <w:p w14:paraId="409B3B8F" w14:textId="77777777" w:rsidR="002D05BD" w:rsidRPr="007A548E" w:rsidRDefault="007049B4">
      <w:pPr>
        <w:numPr>
          <w:ilvl w:val="0"/>
          <w:numId w:val="1"/>
        </w:numPr>
        <w:ind w:right="6" w:hanging="481"/>
      </w:pPr>
      <w:r w:rsidRPr="007A548E">
        <w:rPr>
          <w:b/>
        </w:rPr>
        <w:t>“UK Data Protection Laws”</w:t>
      </w:r>
      <w:r w:rsidRPr="007A548E">
        <w:t xml:space="preserve"> means all laws relating to data protection, the Processing of Personal Data, privacy and/or electronic communications in force </w:t>
      </w:r>
      <w:r w:rsidRPr="007A548E">
        <w:t xml:space="preserve">from time to time in the United Kingdom (“UK”), including the </w:t>
      </w:r>
      <w:r w:rsidRPr="007A548E">
        <w:t xml:space="preserve">UK GDPR and the Data Protection Act 2018. </w:t>
      </w:r>
    </w:p>
    <w:p w14:paraId="1E48BF1C" w14:textId="77777777" w:rsidR="002D05BD" w:rsidRPr="007A548E" w:rsidRDefault="007049B4">
      <w:pPr>
        <w:numPr>
          <w:ilvl w:val="0"/>
          <w:numId w:val="1"/>
        </w:numPr>
        <w:spacing w:after="172"/>
        <w:ind w:right="6" w:hanging="481"/>
      </w:pPr>
      <w:r w:rsidRPr="007A548E">
        <w:rPr>
          <w:b/>
        </w:rPr>
        <w:t>“UK GDPR”</w:t>
      </w:r>
      <w:r w:rsidRPr="007A548E">
        <w:t xml:space="preserve"> means the United Kingdom General Data Protection Regulation, as it forms part of the law of the United Kingdom by virtue of section 3 of the European Union (Withdrawal) Act 2018. </w:t>
      </w:r>
    </w:p>
    <w:p w14:paraId="67D846B3" w14:textId="77777777" w:rsidR="002D05BD" w:rsidRPr="007A548E" w:rsidRDefault="007049B4">
      <w:pPr>
        <w:spacing w:after="149" w:line="259" w:lineRule="auto"/>
        <w:ind w:left="120" w:firstLine="0"/>
      </w:pPr>
      <w:r w:rsidRPr="007A548E">
        <w:t xml:space="preserve">  </w:t>
      </w:r>
    </w:p>
    <w:p w14:paraId="6F1D1D56" w14:textId="77777777" w:rsidR="002D05BD" w:rsidRPr="007A548E" w:rsidRDefault="007049B4">
      <w:pPr>
        <w:spacing w:after="548"/>
        <w:ind w:right="6"/>
      </w:pPr>
      <w:r w:rsidRPr="007A548E">
        <w:t xml:space="preserve">The terms </w:t>
      </w:r>
      <w:r w:rsidRPr="007A548E">
        <w:rPr>
          <w:b/>
        </w:rPr>
        <w:t>"Commission"</w:t>
      </w:r>
      <w:r w:rsidRPr="007A548E">
        <w:t xml:space="preserve">, </w:t>
      </w:r>
      <w:r w:rsidRPr="007A548E">
        <w:rPr>
          <w:b/>
        </w:rPr>
        <w:t>"Member State"</w:t>
      </w:r>
      <w:r w:rsidRPr="007A548E">
        <w:t xml:space="preserve">, and </w:t>
      </w:r>
      <w:r w:rsidRPr="007A548E">
        <w:rPr>
          <w:b/>
        </w:rPr>
        <w:t>"Supervisory Authority"</w:t>
      </w:r>
      <w:r w:rsidRPr="007A548E">
        <w:t xml:space="preserve"> shall have the meanings given to them under the applicable Data Protection Law. Any capitalized terms herein that are not defined in this DPA shall have the meanings associated with them in the Agreement and are hereby adopted by reference in this Addendum.  </w:t>
      </w:r>
    </w:p>
    <w:p w14:paraId="4AFB640D" w14:textId="77777777" w:rsidR="002D05BD" w:rsidRPr="007A548E" w:rsidRDefault="007049B4">
      <w:pPr>
        <w:pStyle w:val="Heading1"/>
        <w:spacing w:after="129"/>
        <w:ind w:left="115"/>
      </w:pPr>
      <w:bookmarkStart w:id="2" w:name="_Toc219973362"/>
      <w:r w:rsidRPr="007A548E">
        <w:lastRenderedPageBreak/>
        <w:t>2.0 Processing of Controller Personal Data</w:t>
      </w:r>
      <w:bookmarkEnd w:id="2"/>
      <w:r w:rsidRPr="007A548E">
        <w:t xml:space="preserve">   </w:t>
      </w:r>
    </w:p>
    <w:p w14:paraId="293A31A6" w14:textId="77777777" w:rsidR="002D05BD" w:rsidRPr="007A548E" w:rsidRDefault="007049B4">
      <w:pPr>
        <w:pStyle w:val="Heading2"/>
        <w:ind w:left="115"/>
      </w:pPr>
      <w:bookmarkStart w:id="3" w:name="_Toc219973363"/>
      <w:r w:rsidRPr="007A548E">
        <w:t>2.1 Controller obligations</w:t>
      </w:r>
      <w:bookmarkEnd w:id="3"/>
      <w:r w:rsidRPr="007A548E">
        <w:t xml:space="preserve">   </w:t>
      </w:r>
    </w:p>
    <w:p w14:paraId="388F6880" w14:textId="77777777" w:rsidR="002D05BD" w:rsidRPr="007A548E" w:rsidRDefault="007049B4">
      <w:pPr>
        <w:ind w:right="6"/>
      </w:pPr>
      <w:r w:rsidRPr="007A548E">
        <w:t xml:space="preserve"> The Controller of Personal Data shall provide instructions at a minimum; specify:  </w:t>
      </w:r>
    </w:p>
    <w:p w14:paraId="70A8BD01" w14:textId="77777777" w:rsidR="002D05BD" w:rsidRPr="007A548E" w:rsidRDefault="007049B4">
      <w:pPr>
        <w:numPr>
          <w:ilvl w:val="0"/>
          <w:numId w:val="2"/>
        </w:numPr>
        <w:ind w:right="6" w:hanging="481"/>
      </w:pPr>
      <w:r w:rsidRPr="007A548E">
        <w:t xml:space="preserve">determine the purpose and means of the Processing of Personal Data in accordance with the </w:t>
      </w:r>
      <w:proofErr w:type="gramStart"/>
      <w:r w:rsidRPr="007A548E">
        <w:t>Agreement;</w:t>
      </w:r>
      <w:proofErr w:type="gramEnd"/>
      <w:r w:rsidRPr="007A548E">
        <w:t xml:space="preserve">  </w:t>
      </w:r>
    </w:p>
    <w:p w14:paraId="1467CCA5" w14:textId="77777777" w:rsidR="002D05BD" w:rsidRPr="007A548E" w:rsidRDefault="007049B4">
      <w:pPr>
        <w:numPr>
          <w:ilvl w:val="0"/>
          <w:numId w:val="2"/>
        </w:numPr>
        <w:ind w:right="6" w:hanging="481"/>
      </w:pPr>
      <w:r w:rsidRPr="007A548E">
        <w:t xml:space="preserve">be responsible for the accuracy and updating of Personal Data   </w:t>
      </w:r>
    </w:p>
    <w:p w14:paraId="6D22A464" w14:textId="77777777" w:rsidR="002D05BD" w:rsidRPr="007A548E" w:rsidRDefault="007049B4">
      <w:pPr>
        <w:numPr>
          <w:ilvl w:val="0"/>
          <w:numId w:val="2"/>
        </w:numPr>
        <w:ind w:right="6" w:hanging="481"/>
      </w:pPr>
      <w:r w:rsidRPr="007A548E">
        <w:t xml:space="preserve">provide instructions on the duration of processing.  </w:t>
      </w:r>
    </w:p>
    <w:p w14:paraId="650970FC" w14:textId="77777777" w:rsidR="002D05BD" w:rsidRPr="007A548E" w:rsidRDefault="007049B4">
      <w:pPr>
        <w:numPr>
          <w:ilvl w:val="0"/>
          <w:numId w:val="2"/>
        </w:numPr>
        <w:ind w:right="6" w:hanging="481"/>
      </w:pPr>
      <w:r w:rsidRPr="007A548E">
        <w:t xml:space="preserve">the categories of Personal Data to be processed. </w:t>
      </w:r>
    </w:p>
    <w:p w14:paraId="364059AD" w14:textId="77777777" w:rsidR="002D05BD" w:rsidRPr="007A548E" w:rsidRDefault="007049B4">
      <w:pPr>
        <w:numPr>
          <w:ilvl w:val="0"/>
          <w:numId w:val="2"/>
        </w:numPr>
        <w:spacing w:after="229"/>
        <w:ind w:right="6" w:hanging="481"/>
      </w:pPr>
      <w:r w:rsidRPr="007A548E">
        <w:t xml:space="preserve">comply with all its obligations under applicable Data Protection Laws.  </w:t>
      </w:r>
    </w:p>
    <w:p w14:paraId="5DBD0B6D" w14:textId="77777777" w:rsidR="002D05BD" w:rsidRPr="007A548E" w:rsidRDefault="007049B4">
      <w:pPr>
        <w:pStyle w:val="Heading2"/>
        <w:ind w:left="115"/>
      </w:pPr>
      <w:bookmarkStart w:id="4" w:name="_Toc219973364"/>
      <w:r w:rsidRPr="007A548E">
        <w:t xml:space="preserve">2.2 </w:t>
      </w:r>
      <w:proofErr w:type="spellStart"/>
      <w:r w:rsidRPr="007A548E">
        <w:t>Energage</w:t>
      </w:r>
      <w:proofErr w:type="spellEnd"/>
      <w:r w:rsidRPr="007A548E">
        <w:t xml:space="preserve"> Obligations</w:t>
      </w:r>
      <w:bookmarkEnd w:id="4"/>
      <w:r w:rsidRPr="007A548E">
        <w:t xml:space="preserve">   </w:t>
      </w:r>
    </w:p>
    <w:p w14:paraId="386C3CAD" w14:textId="77777777" w:rsidR="002D05BD" w:rsidRPr="007A548E" w:rsidRDefault="007049B4">
      <w:pPr>
        <w:spacing w:after="169"/>
        <w:ind w:right="6"/>
      </w:pPr>
      <w:proofErr w:type="spellStart"/>
      <w:r w:rsidRPr="007A548E">
        <w:t>Energage</w:t>
      </w:r>
      <w:proofErr w:type="spellEnd"/>
      <w:r w:rsidRPr="007A548E">
        <w:t xml:space="preserve"> is the Processor of Personal Data and shall:  </w:t>
      </w:r>
    </w:p>
    <w:p w14:paraId="2B6077CA" w14:textId="77777777" w:rsidR="002D05BD" w:rsidRPr="007A548E" w:rsidRDefault="007049B4">
      <w:pPr>
        <w:numPr>
          <w:ilvl w:val="0"/>
          <w:numId w:val="3"/>
        </w:numPr>
        <w:ind w:right="6" w:hanging="481"/>
      </w:pPr>
      <w:r w:rsidRPr="007A548E">
        <w:t xml:space="preserve">only process Personal Data in accordance with the documented instructions of Controller, unless waived in a written requirement or required to do so by Applicable Data Protection Laws.   </w:t>
      </w:r>
    </w:p>
    <w:p w14:paraId="2EE04A0A" w14:textId="77777777" w:rsidR="002D05BD" w:rsidRPr="007A548E" w:rsidRDefault="007049B4">
      <w:pPr>
        <w:numPr>
          <w:ilvl w:val="0"/>
          <w:numId w:val="3"/>
        </w:numPr>
        <w:ind w:right="6" w:hanging="481"/>
      </w:pPr>
      <w:r w:rsidRPr="007A548E">
        <w:t xml:space="preserve">comply with its obligations under Data Protection Laws. A description of the processing of Personal Data intended to be carried out under this DPA is set out in </w:t>
      </w:r>
      <w:r w:rsidRPr="007A548E">
        <w:t xml:space="preserve">Annex I.B. of Exhibit 1 attached hereto. The parties agree that the Agreement, </w:t>
      </w:r>
      <w:r w:rsidRPr="007A548E">
        <w:t>including this DP</w:t>
      </w:r>
      <w:r w:rsidRPr="007A548E">
        <w:t xml:space="preserve">A, together with Controller’s use of the Services in compliance with the Agreement, constitute Controller’s complete and final written instruction to </w:t>
      </w:r>
      <w:proofErr w:type="spellStart"/>
      <w:r w:rsidRPr="007A548E">
        <w:t>Energage</w:t>
      </w:r>
      <w:proofErr w:type="spellEnd"/>
      <w:r w:rsidRPr="007A548E">
        <w:t xml:space="preserve"> in relation to the Processing of Personal Data, and additional instructions outside the scope of these instructions shall require a prior written and mutually executed agreement between Controller and </w:t>
      </w:r>
      <w:proofErr w:type="spellStart"/>
      <w:r w:rsidRPr="007A548E">
        <w:t>Energage</w:t>
      </w:r>
      <w:proofErr w:type="spellEnd"/>
      <w:r w:rsidRPr="007A548E">
        <w:t xml:space="preserve">. In the event </w:t>
      </w:r>
      <w:proofErr w:type="spellStart"/>
      <w:r w:rsidRPr="007A548E">
        <w:t>Energage</w:t>
      </w:r>
      <w:proofErr w:type="spellEnd"/>
      <w:r w:rsidRPr="007A548E">
        <w:t xml:space="preserve"> </w:t>
      </w:r>
      <w:r w:rsidRPr="007A548E">
        <w:t>reasonably believes ther</w:t>
      </w:r>
      <w:r w:rsidRPr="007A548E">
        <w:t xml:space="preserve">e is a conflict with any Data Protection Law and Controller’s </w:t>
      </w:r>
      <w:r w:rsidRPr="007A548E">
        <w:t xml:space="preserve">instructions, </w:t>
      </w:r>
      <w:proofErr w:type="spellStart"/>
      <w:r w:rsidRPr="007A548E">
        <w:t>Energage</w:t>
      </w:r>
      <w:proofErr w:type="spellEnd"/>
      <w:r w:rsidRPr="007A548E">
        <w:t xml:space="preserve"> will inform Controller promptly and the parties shall cooperate in good faith to resolve the conflict and achieve the goals of such </w:t>
      </w:r>
      <w:r w:rsidRPr="007A548E">
        <w:t xml:space="preserve">instruction.   </w:t>
      </w:r>
      <w:r w:rsidRPr="007A548E">
        <w:t xml:space="preserve"> </w:t>
      </w:r>
    </w:p>
    <w:p w14:paraId="6D852A50" w14:textId="77777777" w:rsidR="002D05BD" w:rsidRPr="007A548E" w:rsidRDefault="007049B4">
      <w:pPr>
        <w:numPr>
          <w:ilvl w:val="0"/>
          <w:numId w:val="3"/>
        </w:numPr>
        <w:ind w:right="6" w:hanging="481"/>
      </w:pPr>
      <w:r w:rsidRPr="007A548E">
        <w:t xml:space="preserve">not use Personal Data, except for usage of Personal Data pursuant to Controller’s </w:t>
      </w:r>
      <w:r w:rsidRPr="007A548E">
        <w:t xml:space="preserve">instructions, as permitted under the Agreement and as necessary to bring and defend claims, to comply with requirements of the legal process, to cooperate with regulatory authorities, and to exercise other similar permissible uses as expressly </w:t>
      </w:r>
      <w:r w:rsidRPr="007A548E">
        <w:t xml:space="preserve">provided under Data Protection Laws.   </w:t>
      </w:r>
      <w:r w:rsidRPr="007A548E">
        <w:t xml:space="preserve"> </w:t>
      </w:r>
    </w:p>
    <w:p w14:paraId="28B5203F" w14:textId="77777777" w:rsidR="002D05BD" w:rsidRPr="007A548E" w:rsidRDefault="007049B4">
      <w:pPr>
        <w:numPr>
          <w:ilvl w:val="0"/>
          <w:numId w:val="3"/>
        </w:numPr>
        <w:ind w:right="6" w:hanging="481"/>
      </w:pPr>
      <w:r w:rsidRPr="007A548E">
        <w:t>not: (</w:t>
      </w:r>
      <w:proofErr w:type="spellStart"/>
      <w:r w:rsidRPr="007A548E">
        <w:t>i</w:t>
      </w:r>
      <w:proofErr w:type="spellEnd"/>
      <w:r w:rsidRPr="007A548E">
        <w:t xml:space="preserve">) sell or share (as such terms are defined by Data Protection Laws) Personal Data, (ii) retain, use, or otherwise disclose Personal Data for any purpose other than to provide the services as specified in the Agreement or outside of the direct business relationship between </w:t>
      </w:r>
      <w:proofErr w:type="spellStart"/>
      <w:r w:rsidRPr="007A548E">
        <w:t>Energage</w:t>
      </w:r>
      <w:proofErr w:type="spellEnd"/>
      <w:r w:rsidRPr="007A548E">
        <w:t xml:space="preserve"> and Controller; or (iii) combine Controller Personal Data with Personal Data </w:t>
      </w:r>
      <w:proofErr w:type="spellStart"/>
      <w:r w:rsidRPr="007A548E">
        <w:t>Energage</w:t>
      </w:r>
      <w:proofErr w:type="spellEnd"/>
      <w:r w:rsidRPr="007A548E">
        <w:t xml:space="preserve"> receives from, or on behalf of, another person or persons, or which </w:t>
      </w:r>
      <w:proofErr w:type="spellStart"/>
      <w:r w:rsidRPr="007A548E">
        <w:t>Energage</w:t>
      </w:r>
      <w:proofErr w:type="spellEnd"/>
      <w:r w:rsidRPr="007A548E">
        <w:t xml:space="preserve"> collects from its own interactions with an individual, except as e</w:t>
      </w:r>
      <w:r w:rsidRPr="007A548E">
        <w:t xml:space="preserve">xpressly agreed by Controller and permitted by applicable </w:t>
      </w:r>
      <w:r w:rsidRPr="007A548E">
        <w:lastRenderedPageBreak/>
        <w:t xml:space="preserve">Data Protection Laws. </w:t>
      </w:r>
      <w:proofErr w:type="spellStart"/>
      <w:r w:rsidRPr="007A548E">
        <w:t>Energage</w:t>
      </w:r>
      <w:proofErr w:type="spellEnd"/>
      <w:r w:rsidRPr="007A548E">
        <w:t xml:space="preserve"> certifies that it understands the restrictions in </w:t>
      </w:r>
      <w:proofErr w:type="gramStart"/>
      <w:r w:rsidRPr="007A548E">
        <w:t>this Section</w:t>
      </w:r>
      <w:proofErr w:type="gramEnd"/>
      <w:r w:rsidRPr="007A548E">
        <w:t xml:space="preserve"> 2.2(d) and will comply with them. </w:t>
      </w:r>
    </w:p>
    <w:p w14:paraId="47A2DAFE" w14:textId="77777777" w:rsidR="002D05BD" w:rsidRPr="007A548E" w:rsidRDefault="007049B4">
      <w:pPr>
        <w:numPr>
          <w:ilvl w:val="0"/>
          <w:numId w:val="3"/>
        </w:numPr>
        <w:spacing w:after="28"/>
        <w:ind w:right="6" w:hanging="481"/>
      </w:pPr>
      <w:r w:rsidRPr="007A548E">
        <w:t xml:space="preserve">return or securely destroy Personal Data, in accordance with Controller’s instructions, upon Controller’s request, unless Personal Data must be retained to </w:t>
      </w:r>
      <w:r w:rsidRPr="007A548E">
        <w:t xml:space="preserve">comply with applicable legal requirements.   </w:t>
      </w:r>
    </w:p>
    <w:p w14:paraId="4DB80E66" w14:textId="77777777" w:rsidR="002D05BD" w:rsidRPr="007A548E" w:rsidRDefault="007049B4">
      <w:pPr>
        <w:numPr>
          <w:ilvl w:val="1"/>
          <w:numId w:val="3"/>
        </w:numPr>
        <w:ind w:right="6" w:hanging="480"/>
      </w:pPr>
      <w:r w:rsidRPr="007A548E">
        <w:t xml:space="preserve">if any law, regulation, or government or regulatory body requires </w:t>
      </w:r>
      <w:proofErr w:type="spellStart"/>
      <w:r w:rsidRPr="007A548E">
        <w:t>Energage</w:t>
      </w:r>
      <w:proofErr w:type="spellEnd"/>
      <w:r w:rsidRPr="007A548E">
        <w:t xml:space="preserve"> to retain any documents or materials or Personal Data that </w:t>
      </w:r>
      <w:proofErr w:type="spellStart"/>
      <w:r w:rsidRPr="007A548E">
        <w:t>Energage</w:t>
      </w:r>
      <w:proofErr w:type="spellEnd"/>
      <w:r w:rsidRPr="007A548E">
        <w:t xml:space="preserve"> would otherwise be required to return or destroy, it will notify the Controller in writing of that retention requirement, giving details of the documents, materials or Personal Data that it must retain, the legal basis for retention, and establishing a specific timeline for deletion or destruction once the retention requirement ends.  </w:t>
      </w:r>
    </w:p>
    <w:p w14:paraId="290D4DE0" w14:textId="77777777" w:rsidR="002D05BD" w:rsidRPr="007A548E" w:rsidRDefault="007049B4">
      <w:pPr>
        <w:numPr>
          <w:ilvl w:val="1"/>
          <w:numId w:val="3"/>
        </w:numPr>
        <w:spacing w:after="163"/>
        <w:ind w:right="6" w:hanging="480"/>
      </w:pPr>
      <w:r w:rsidRPr="007A548E">
        <w:t xml:space="preserve">the Data Processor shall confirm to the Data Controller in writing via email to support@energage.com the completion of the chosen action (return or destruction) within 35 business days (in alignment with the backup retention schedule) of receiving the instruction and acknowledging the request.  </w:t>
      </w:r>
    </w:p>
    <w:p w14:paraId="7E7156A6" w14:textId="77777777" w:rsidR="002D05BD" w:rsidRPr="007A548E" w:rsidRDefault="007049B4">
      <w:pPr>
        <w:spacing w:after="228"/>
        <w:ind w:right="6"/>
      </w:pPr>
      <w:r w:rsidRPr="007A548E">
        <w:t xml:space="preserve">Processor shall not, without the prior written consent of Controller, transfer any Personal Data to a third party, except to </w:t>
      </w:r>
      <w:proofErr w:type="spellStart"/>
      <w:r w:rsidRPr="007A548E">
        <w:t>Subprocessors</w:t>
      </w:r>
      <w:proofErr w:type="spellEnd"/>
      <w:r w:rsidRPr="007A548E">
        <w:t xml:space="preserve"> engaged by Processor in accordance as outlined below.  </w:t>
      </w:r>
    </w:p>
    <w:p w14:paraId="5D161B0F" w14:textId="77777777" w:rsidR="002D05BD" w:rsidRPr="007A548E" w:rsidRDefault="007049B4">
      <w:pPr>
        <w:pStyle w:val="Heading2"/>
        <w:spacing w:after="0"/>
        <w:ind w:left="115"/>
      </w:pPr>
      <w:bookmarkStart w:id="5" w:name="_Toc219973365"/>
      <w:r w:rsidRPr="007A548E">
        <w:t>2.3 Sub-processors</w:t>
      </w:r>
      <w:bookmarkEnd w:id="5"/>
      <w:r w:rsidRPr="007A548E">
        <w:t xml:space="preserve">   </w:t>
      </w:r>
    </w:p>
    <w:p w14:paraId="3418F8EC" w14:textId="77777777" w:rsidR="002D05BD" w:rsidRPr="007A548E" w:rsidRDefault="007049B4">
      <w:pPr>
        <w:numPr>
          <w:ilvl w:val="0"/>
          <w:numId w:val="4"/>
        </w:numPr>
        <w:ind w:right="6" w:hanging="536"/>
      </w:pPr>
      <w:r w:rsidRPr="007A548E">
        <w:t xml:space="preserve">Authorized Sub-processors  </w:t>
      </w:r>
    </w:p>
    <w:p w14:paraId="3D1253D8" w14:textId="77777777" w:rsidR="002D05BD" w:rsidRPr="007A548E" w:rsidRDefault="007049B4">
      <w:pPr>
        <w:numPr>
          <w:ilvl w:val="1"/>
          <w:numId w:val="4"/>
        </w:numPr>
        <w:ind w:right="6" w:hanging="480"/>
      </w:pPr>
      <w:r w:rsidRPr="007A548E">
        <w:t xml:space="preserve">Controller agrees that </w:t>
      </w:r>
      <w:proofErr w:type="spellStart"/>
      <w:r w:rsidRPr="007A548E">
        <w:t>Energage</w:t>
      </w:r>
      <w:proofErr w:type="spellEnd"/>
      <w:r w:rsidRPr="007A548E">
        <w:t xml:space="preserve"> is generally authorized to engage </w:t>
      </w:r>
      <w:proofErr w:type="spellStart"/>
      <w:r w:rsidRPr="007A548E">
        <w:t>Sub</w:t>
      </w:r>
      <w:r w:rsidRPr="007A548E">
        <w:t>processors</w:t>
      </w:r>
      <w:proofErr w:type="spellEnd"/>
      <w:r w:rsidRPr="007A548E">
        <w:t xml:space="preserve"> to process Controller Data on Controller’s behalf. The </w:t>
      </w:r>
      <w:proofErr w:type="spellStart"/>
      <w:r w:rsidRPr="007A548E">
        <w:t>Sub</w:t>
      </w:r>
      <w:r w:rsidRPr="007A548E">
        <w:t>processors</w:t>
      </w:r>
      <w:proofErr w:type="spellEnd"/>
      <w:r w:rsidRPr="007A548E">
        <w:t xml:space="preserve"> currently engaged by </w:t>
      </w:r>
      <w:proofErr w:type="spellStart"/>
      <w:r w:rsidRPr="007A548E">
        <w:t>Energage</w:t>
      </w:r>
      <w:proofErr w:type="spellEnd"/>
      <w:r w:rsidRPr="007A548E">
        <w:t xml:space="preserve"> and authorized by the Controller are available </w:t>
      </w:r>
      <w:hyperlink r:id="rId12">
        <w:r w:rsidRPr="007A548E">
          <w:rPr>
            <w:color w:val="4F81BD"/>
          </w:rPr>
          <w:t>here</w:t>
        </w:r>
      </w:hyperlink>
      <w:hyperlink r:id="rId13">
        <w:r w:rsidRPr="007A548E">
          <w:t>.</w:t>
        </w:r>
      </w:hyperlink>
      <w:r w:rsidRPr="007A548E">
        <w:t xml:space="preserve">  </w:t>
      </w:r>
    </w:p>
    <w:p w14:paraId="032764B5" w14:textId="77777777" w:rsidR="002D05BD" w:rsidRPr="007A548E" w:rsidRDefault="007049B4">
      <w:pPr>
        <w:numPr>
          <w:ilvl w:val="0"/>
          <w:numId w:val="4"/>
        </w:numPr>
        <w:ind w:right="6" w:hanging="536"/>
      </w:pPr>
      <w:r w:rsidRPr="007A548E">
        <w:t xml:space="preserve">Sub-processor Update Notice  </w:t>
      </w:r>
    </w:p>
    <w:p w14:paraId="194F2210" w14:textId="77777777" w:rsidR="002D05BD" w:rsidRPr="007A548E" w:rsidRDefault="007049B4">
      <w:pPr>
        <w:numPr>
          <w:ilvl w:val="1"/>
          <w:numId w:val="4"/>
        </w:numPr>
        <w:ind w:right="6" w:hanging="480"/>
      </w:pPr>
      <w:proofErr w:type="spellStart"/>
      <w:r w:rsidRPr="007A548E">
        <w:t>Energage</w:t>
      </w:r>
      <w:proofErr w:type="spellEnd"/>
      <w:r w:rsidRPr="007A548E">
        <w:t xml:space="preserve"> shall notify Controller if it adds or removes Sub-processors at least 30 days prior to any such changes so long as the Controller opts in to receive such notifications by clicking </w:t>
      </w:r>
      <w:hyperlink r:id="rId14">
        <w:r w:rsidRPr="007A548E">
          <w:rPr>
            <w:color w:val="4F81BD"/>
          </w:rPr>
          <w:t>here</w:t>
        </w:r>
      </w:hyperlink>
      <w:hyperlink r:id="rId15">
        <w:r w:rsidRPr="007A548E">
          <w:t>.</w:t>
        </w:r>
      </w:hyperlink>
      <w:r w:rsidRPr="007A548E">
        <w:t xml:space="preserve"> Upon Controller’s objection, the parties </w:t>
      </w:r>
      <w:r w:rsidRPr="007A548E">
        <w:t xml:space="preserve">shall work together in good faith to address </w:t>
      </w:r>
      <w:r w:rsidRPr="007A548E">
        <w:t>Controllers’</w:t>
      </w:r>
      <w:r w:rsidRPr="007A548E">
        <w:t xml:space="preserve"> concerns. ii.</w:t>
      </w:r>
      <w:r w:rsidRPr="007A548E">
        <w:rPr>
          <w:rFonts w:ascii="Arial" w:eastAsia="Arial" w:hAnsi="Arial" w:cs="Arial"/>
        </w:rPr>
        <w:t xml:space="preserve"> </w:t>
      </w:r>
      <w:r w:rsidRPr="007A548E">
        <w:rPr>
          <w:rFonts w:ascii="Arial" w:eastAsia="Arial" w:hAnsi="Arial" w:cs="Arial"/>
        </w:rPr>
        <w:tab/>
      </w:r>
      <w:r w:rsidRPr="007A548E">
        <w:t xml:space="preserve">if Controller does not subscribe to such notifications, Controller waives any </w:t>
      </w:r>
      <w:r w:rsidRPr="007A548E">
        <w:t xml:space="preserve">right it may have to receive prior notice of changes to </w:t>
      </w:r>
      <w:proofErr w:type="spellStart"/>
      <w:r w:rsidRPr="007A548E">
        <w:t>Energage’s</w:t>
      </w:r>
      <w:proofErr w:type="spellEnd"/>
      <w:r w:rsidRPr="007A548E">
        <w:t xml:space="preserve"> </w:t>
      </w:r>
      <w:proofErr w:type="spellStart"/>
      <w:r w:rsidRPr="007A548E">
        <w:t>sub</w:t>
      </w:r>
      <w:r w:rsidRPr="007A548E">
        <w:t>processors</w:t>
      </w:r>
      <w:proofErr w:type="spellEnd"/>
      <w:r w:rsidRPr="007A548E">
        <w:t xml:space="preserve">.   </w:t>
      </w:r>
    </w:p>
    <w:p w14:paraId="0BDA7D09" w14:textId="77777777" w:rsidR="002D05BD" w:rsidRPr="007A548E" w:rsidRDefault="007049B4">
      <w:pPr>
        <w:numPr>
          <w:ilvl w:val="0"/>
          <w:numId w:val="4"/>
        </w:numPr>
        <w:ind w:right="6" w:hanging="536"/>
      </w:pPr>
      <w:r w:rsidRPr="007A548E">
        <w:t xml:space="preserve">Sub-processor Agreements  </w:t>
      </w:r>
    </w:p>
    <w:p w14:paraId="57FB75BE" w14:textId="77777777" w:rsidR="002D05BD" w:rsidRPr="007A548E" w:rsidRDefault="007049B4">
      <w:pPr>
        <w:numPr>
          <w:ilvl w:val="1"/>
          <w:numId w:val="4"/>
        </w:numPr>
        <w:spacing w:after="548"/>
        <w:ind w:right="6" w:hanging="480"/>
      </w:pPr>
      <w:proofErr w:type="spellStart"/>
      <w:r w:rsidRPr="007A548E">
        <w:t>Energage</w:t>
      </w:r>
      <w:proofErr w:type="spellEnd"/>
      <w:r w:rsidRPr="007A548E">
        <w:t xml:space="preserve"> shall enter into a written agreement with each Sub-processor containing data protection obligations that provide at least the same level of protection for Controller Data as those in this DPA, to the extent applicable to the nature of the service provided by such Sub-processor.   </w:t>
      </w:r>
    </w:p>
    <w:p w14:paraId="64E0F20E" w14:textId="77777777" w:rsidR="002D05BD" w:rsidRPr="007A548E" w:rsidRDefault="007049B4">
      <w:pPr>
        <w:pStyle w:val="Heading1"/>
        <w:spacing w:after="128"/>
        <w:ind w:left="115"/>
      </w:pPr>
      <w:bookmarkStart w:id="6" w:name="_Toc219973366"/>
      <w:r w:rsidRPr="007A548E">
        <w:lastRenderedPageBreak/>
        <w:t>3.0 Data Protection</w:t>
      </w:r>
      <w:bookmarkEnd w:id="6"/>
      <w:r w:rsidRPr="007A548E">
        <w:t xml:space="preserve">  </w:t>
      </w:r>
    </w:p>
    <w:p w14:paraId="24B302D7" w14:textId="77777777" w:rsidR="002D05BD" w:rsidRPr="007A548E" w:rsidRDefault="007049B4">
      <w:pPr>
        <w:pStyle w:val="Heading2"/>
        <w:spacing w:after="0"/>
        <w:ind w:left="115"/>
      </w:pPr>
      <w:bookmarkStart w:id="7" w:name="_Toc219973367"/>
      <w:r w:rsidRPr="007A548E">
        <w:t>3.1 Security Measures</w:t>
      </w:r>
      <w:bookmarkEnd w:id="7"/>
      <w:r w:rsidRPr="007A548E">
        <w:t xml:space="preserve">  </w:t>
      </w:r>
    </w:p>
    <w:p w14:paraId="0280C056" w14:textId="3D30702B" w:rsidR="002D05BD" w:rsidRPr="007A548E" w:rsidRDefault="007049B4">
      <w:pPr>
        <w:numPr>
          <w:ilvl w:val="0"/>
          <w:numId w:val="5"/>
        </w:numPr>
        <w:ind w:right="6" w:hanging="481"/>
      </w:pPr>
      <w:proofErr w:type="spellStart"/>
      <w:r w:rsidRPr="007A548E">
        <w:t>Energage</w:t>
      </w:r>
      <w:proofErr w:type="spellEnd"/>
      <w:r w:rsidRPr="007A548E">
        <w:t xml:space="preserve"> shall implement and maintain appropriate technical and organizational security measures that are designed to protect Controller Data from Security Incidents and to preserve the security, availability, integrity and confidentiality of Controller Data, the details of which are set forth </w:t>
      </w:r>
      <w:r w:rsidR="00A6624F" w:rsidRPr="007A548E">
        <w:t xml:space="preserve">in our </w:t>
      </w:r>
      <w:hyperlink r:id="rId16" w:history="1">
        <w:r w:rsidR="00A6624F" w:rsidRPr="007A548E">
          <w:rPr>
            <w:rStyle w:val="Hyperlink"/>
          </w:rPr>
          <w:t>Trust Center</w:t>
        </w:r>
      </w:hyperlink>
      <w:hyperlink r:id="rId17">
        <w:r w:rsidRPr="007A548E">
          <w:t>.</w:t>
        </w:r>
      </w:hyperlink>
      <w:r w:rsidRPr="007A548E">
        <w:t xml:space="preserve">  </w:t>
      </w:r>
    </w:p>
    <w:p w14:paraId="205F48A2" w14:textId="77777777" w:rsidR="002D05BD" w:rsidRPr="007A548E" w:rsidRDefault="007049B4">
      <w:pPr>
        <w:numPr>
          <w:ilvl w:val="0"/>
          <w:numId w:val="5"/>
        </w:numPr>
        <w:spacing w:after="227"/>
        <w:ind w:right="6" w:hanging="481"/>
      </w:pPr>
      <w:r w:rsidRPr="007A548E">
        <w:t xml:space="preserve">in assessing the appropriate level of security, </w:t>
      </w:r>
      <w:proofErr w:type="spellStart"/>
      <w:r w:rsidRPr="007A548E">
        <w:t>Energage</w:t>
      </w:r>
      <w:proofErr w:type="spellEnd"/>
      <w:r w:rsidRPr="007A548E">
        <w:t xml:space="preserve"> shall consider the risks that are presented by Processing, </w:t>
      </w:r>
      <w:proofErr w:type="gramStart"/>
      <w:r w:rsidRPr="007A548E">
        <w:t>in particular from</w:t>
      </w:r>
      <w:proofErr w:type="gramEnd"/>
      <w:r w:rsidRPr="007A548E">
        <w:t xml:space="preserve"> a Personal Data Breach.  </w:t>
      </w:r>
    </w:p>
    <w:p w14:paraId="02723AD6" w14:textId="77777777" w:rsidR="002D05BD" w:rsidRPr="007A548E" w:rsidRDefault="007049B4">
      <w:pPr>
        <w:pStyle w:val="Heading2"/>
        <w:ind w:left="115"/>
      </w:pPr>
      <w:bookmarkStart w:id="8" w:name="_Toc219973368"/>
      <w:r w:rsidRPr="007A548E">
        <w:t>3.2 Confidentiality</w:t>
      </w:r>
      <w:bookmarkEnd w:id="8"/>
      <w:r w:rsidRPr="007A548E">
        <w:t xml:space="preserve">   </w:t>
      </w:r>
    </w:p>
    <w:p w14:paraId="7347CEE6" w14:textId="77777777" w:rsidR="002D05BD" w:rsidRPr="007A548E" w:rsidRDefault="007049B4">
      <w:pPr>
        <w:spacing w:after="223"/>
        <w:ind w:right="6"/>
      </w:pPr>
      <w:proofErr w:type="spellStart"/>
      <w:r w:rsidRPr="007A548E">
        <w:t>Energage</w:t>
      </w:r>
      <w:proofErr w:type="spellEnd"/>
      <w:r w:rsidRPr="007A548E">
        <w:t xml:space="preserve"> shall ensure </w:t>
      </w:r>
      <w:proofErr w:type="gramStart"/>
      <w:r w:rsidRPr="007A548E">
        <w:t>persons</w:t>
      </w:r>
      <w:proofErr w:type="gramEnd"/>
      <w:r w:rsidRPr="007A548E">
        <w:t xml:space="preserve"> authorized by </w:t>
      </w:r>
      <w:proofErr w:type="spellStart"/>
      <w:r w:rsidRPr="007A548E">
        <w:t>Energage</w:t>
      </w:r>
      <w:proofErr w:type="spellEnd"/>
      <w:r w:rsidRPr="007A548E">
        <w:t xml:space="preserve"> to process Personal Data are under a duty of confidentiality with respect to the Personal Data.  </w:t>
      </w:r>
    </w:p>
    <w:p w14:paraId="24D93F60" w14:textId="77777777" w:rsidR="002D05BD" w:rsidRPr="007A548E" w:rsidRDefault="007049B4">
      <w:pPr>
        <w:pStyle w:val="Heading2"/>
        <w:ind w:left="115"/>
      </w:pPr>
      <w:bookmarkStart w:id="9" w:name="_Toc219973369"/>
      <w:r w:rsidRPr="007A548E">
        <w:t>3.3 Security Breach or Personal Data Breach</w:t>
      </w:r>
      <w:bookmarkEnd w:id="9"/>
      <w:r w:rsidRPr="007A548E">
        <w:t xml:space="preserve">  </w:t>
      </w:r>
    </w:p>
    <w:p w14:paraId="3D610CFC" w14:textId="77777777" w:rsidR="002D05BD" w:rsidRPr="007A548E" w:rsidRDefault="007049B4">
      <w:pPr>
        <w:spacing w:after="169"/>
        <w:ind w:right="6"/>
      </w:pPr>
      <w:r w:rsidRPr="007A548E">
        <w:t xml:space="preserve">Upon becoming aware of a Security Breach, </w:t>
      </w:r>
      <w:proofErr w:type="spellStart"/>
      <w:r w:rsidRPr="007A548E">
        <w:t>Energage</w:t>
      </w:r>
      <w:proofErr w:type="spellEnd"/>
      <w:r w:rsidRPr="007A548E">
        <w:t xml:space="preserve"> shall:   </w:t>
      </w:r>
    </w:p>
    <w:p w14:paraId="4F3BE17C" w14:textId="77777777" w:rsidR="002D05BD" w:rsidRPr="007A548E" w:rsidRDefault="007049B4">
      <w:pPr>
        <w:numPr>
          <w:ilvl w:val="0"/>
          <w:numId w:val="6"/>
        </w:numPr>
        <w:ind w:right="6" w:hanging="481"/>
      </w:pPr>
      <w:r w:rsidRPr="007A548E">
        <w:t xml:space="preserve">notify the Controller without undue delay, and where feasible, within 72 hours of </w:t>
      </w:r>
      <w:proofErr w:type="gramStart"/>
      <w:r w:rsidRPr="007A548E">
        <w:t>awareness;</w:t>
      </w:r>
      <w:proofErr w:type="gramEnd"/>
      <w:r w:rsidRPr="007A548E">
        <w:t xml:space="preserve"> </w:t>
      </w:r>
    </w:p>
    <w:p w14:paraId="474625E4" w14:textId="77777777" w:rsidR="002D05BD" w:rsidRPr="007A548E" w:rsidRDefault="007049B4">
      <w:pPr>
        <w:numPr>
          <w:ilvl w:val="0"/>
          <w:numId w:val="6"/>
        </w:numPr>
        <w:ind w:right="6" w:hanging="481"/>
      </w:pPr>
      <w:r w:rsidRPr="007A548E">
        <w:t xml:space="preserve">investigate the Security </w:t>
      </w:r>
      <w:proofErr w:type="gramStart"/>
      <w:r w:rsidRPr="007A548E">
        <w:t>Breach;</w:t>
      </w:r>
      <w:proofErr w:type="gramEnd"/>
      <w:r w:rsidRPr="007A548E">
        <w:t xml:space="preserve">   </w:t>
      </w:r>
    </w:p>
    <w:p w14:paraId="69287F7B" w14:textId="77777777" w:rsidR="002D05BD" w:rsidRPr="007A548E" w:rsidRDefault="007049B4">
      <w:pPr>
        <w:numPr>
          <w:ilvl w:val="0"/>
          <w:numId w:val="6"/>
        </w:numPr>
        <w:ind w:right="6" w:hanging="481"/>
      </w:pPr>
      <w:r w:rsidRPr="007A548E">
        <w:t xml:space="preserve">provide the Controller with necessary details about the Security Breach as required by applicable law; and  </w:t>
      </w:r>
    </w:p>
    <w:p w14:paraId="51AF81DA" w14:textId="77777777" w:rsidR="002D05BD" w:rsidRPr="007A548E" w:rsidRDefault="007049B4">
      <w:pPr>
        <w:numPr>
          <w:ilvl w:val="0"/>
          <w:numId w:val="6"/>
        </w:numPr>
        <w:ind w:right="6" w:hanging="481"/>
      </w:pPr>
      <w:r w:rsidRPr="007A548E">
        <w:t xml:space="preserve">take reasonable actions to prevent </w:t>
      </w:r>
      <w:proofErr w:type="gramStart"/>
      <w:r w:rsidRPr="007A548E">
        <w:t>a recurrence</w:t>
      </w:r>
      <w:proofErr w:type="gramEnd"/>
      <w:r w:rsidRPr="007A548E">
        <w:t xml:space="preserve"> of the Security Breach.  </w:t>
      </w:r>
    </w:p>
    <w:p w14:paraId="55155ED0" w14:textId="77777777" w:rsidR="002D05BD" w:rsidRPr="007A548E" w:rsidRDefault="007049B4">
      <w:pPr>
        <w:numPr>
          <w:ilvl w:val="0"/>
          <w:numId w:val="6"/>
        </w:numPr>
        <w:spacing w:after="223"/>
        <w:ind w:right="6" w:hanging="481"/>
      </w:pPr>
      <w:proofErr w:type="spellStart"/>
      <w:r w:rsidRPr="007A548E">
        <w:t>Energage</w:t>
      </w:r>
      <w:proofErr w:type="spellEnd"/>
      <w:r w:rsidRPr="007A548E">
        <w:t xml:space="preserve"> agrees that the Controller has the sole right to determine whether to provide notice on its own behalf of the accidental, unauthorized or unlawful processing and/or the Personal Data Breach to any Data Subjects, the relevant Supervisory Authority, other in-scope regulators, law enforcement agencies or others, as required by law or regulation or in the Controller's discretion, including the contents and delivery method of the notice.   </w:t>
      </w:r>
    </w:p>
    <w:p w14:paraId="2FE32A81" w14:textId="77777777" w:rsidR="002D05BD" w:rsidRPr="007A548E" w:rsidRDefault="007049B4">
      <w:pPr>
        <w:pStyle w:val="Heading2"/>
        <w:ind w:left="115"/>
      </w:pPr>
      <w:bookmarkStart w:id="10" w:name="_Toc219973370"/>
      <w:r w:rsidRPr="007A548E">
        <w:t>3.4 Controller Security Responsibility</w:t>
      </w:r>
      <w:bookmarkEnd w:id="10"/>
      <w:r w:rsidRPr="007A548E">
        <w:t xml:space="preserve">  </w:t>
      </w:r>
    </w:p>
    <w:p w14:paraId="38E261A4" w14:textId="77777777" w:rsidR="002D05BD" w:rsidRPr="007A548E" w:rsidRDefault="007049B4">
      <w:pPr>
        <w:spacing w:after="549"/>
        <w:ind w:right="6"/>
      </w:pPr>
      <w:r w:rsidRPr="007A548E">
        <w:t>Notwithstanding the above, Controller agrees that except as provided by this DPA, Controller is responsible for the secure use of Service, including securing the account authentication credentials, and is responsible for protecting the security of the Cont</w:t>
      </w:r>
      <w:r w:rsidRPr="007A548E">
        <w:t xml:space="preserve">roller’s </w:t>
      </w:r>
      <w:r w:rsidRPr="007A548E">
        <w:t xml:space="preserve">data.  </w:t>
      </w:r>
    </w:p>
    <w:p w14:paraId="5FC8B50E" w14:textId="77777777" w:rsidR="002D05BD" w:rsidRPr="007A548E" w:rsidRDefault="007049B4">
      <w:pPr>
        <w:pStyle w:val="Heading1"/>
        <w:ind w:left="115"/>
      </w:pPr>
      <w:bookmarkStart w:id="11" w:name="_Toc219973371"/>
      <w:r w:rsidRPr="007A548E">
        <w:t>4.0</w:t>
      </w:r>
      <w:r w:rsidRPr="007A548E">
        <w:rPr>
          <w:rFonts w:ascii="Arial" w:eastAsia="Arial" w:hAnsi="Arial" w:cs="Arial"/>
        </w:rPr>
        <w:t xml:space="preserve"> </w:t>
      </w:r>
      <w:r w:rsidRPr="007A548E">
        <w:t>Data Transfers</w:t>
      </w:r>
      <w:bookmarkEnd w:id="11"/>
      <w:r w:rsidRPr="007A548E">
        <w:t xml:space="preserve">  </w:t>
      </w:r>
    </w:p>
    <w:p w14:paraId="31D6CA2E" w14:textId="77777777" w:rsidR="002D05BD" w:rsidRPr="007A548E" w:rsidRDefault="007049B4">
      <w:pPr>
        <w:numPr>
          <w:ilvl w:val="0"/>
          <w:numId w:val="7"/>
        </w:numPr>
        <w:ind w:right="6" w:hanging="481"/>
      </w:pPr>
      <w:r w:rsidRPr="007A548E">
        <w:t xml:space="preserve">For purposes of this DPA, “Standard Contractual Clauses” means the Standard </w:t>
      </w:r>
      <w:r w:rsidRPr="007A548E">
        <w:t xml:space="preserve">Contractual Clauses set forth in Exhibit 4 to this DPA </w:t>
      </w:r>
      <w:r w:rsidRPr="007A548E">
        <w:t xml:space="preserve">and “UK Addendum” means the </w:t>
      </w:r>
      <w:r w:rsidRPr="007A548E">
        <w:t xml:space="preserve">addendum to the Standard Contractual Clauses issues pursuant to Section 119A of the United Kingdom Data Protection Act.  </w:t>
      </w:r>
    </w:p>
    <w:p w14:paraId="1817165D" w14:textId="77777777" w:rsidR="002D05BD" w:rsidRPr="007A548E" w:rsidRDefault="007049B4">
      <w:pPr>
        <w:numPr>
          <w:ilvl w:val="0"/>
          <w:numId w:val="7"/>
        </w:numPr>
        <w:ind w:right="6" w:hanging="481"/>
      </w:pPr>
      <w:r w:rsidRPr="007A548E">
        <w:lastRenderedPageBreak/>
        <w:t xml:space="preserve">Controller (as data exporter) and </w:t>
      </w:r>
      <w:proofErr w:type="spellStart"/>
      <w:r w:rsidRPr="007A548E">
        <w:t>Energage</w:t>
      </w:r>
      <w:proofErr w:type="spellEnd"/>
      <w:r w:rsidRPr="007A548E">
        <w:t xml:space="preserve"> (as data importer) shall comply with the Standard Contractual Clauses with respect to Personal Data exported from the European Economic Area to the United States of America or other third country that has not been deemed by the European Commission to ensure an adequate level of protection for such Personal Data. The Standard Contractual Clauses are hereby incorporated into this Agreement by this reference.  </w:t>
      </w:r>
    </w:p>
    <w:p w14:paraId="489C718E" w14:textId="77777777" w:rsidR="002D05BD" w:rsidRPr="007A548E" w:rsidRDefault="007049B4" w:rsidP="003D5F48">
      <w:pPr>
        <w:numPr>
          <w:ilvl w:val="0"/>
          <w:numId w:val="7"/>
        </w:numPr>
        <w:spacing w:after="0" w:line="241" w:lineRule="auto"/>
        <w:ind w:right="6" w:hanging="481"/>
      </w:pPr>
      <w:r w:rsidRPr="007A548E">
        <w:t xml:space="preserve">With respect to Personal Data of data subjects in the United Kingdom exported from the United Kingdom to the United States or any other third country that has not </w:t>
      </w:r>
      <w:r w:rsidRPr="007A548E">
        <w:t>been deemed by the United Kingdom to ensure an adequate level of protection for such Personal Data, (</w:t>
      </w:r>
      <w:proofErr w:type="spellStart"/>
      <w:r w:rsidRPr="007A548E">
        <w:t>i</w:t>
      </w:r>
      <w:proofErr w:type="spellEnd"/>
      <w:r w:rsidRPr="007A548E">
        <w:t xml:space="preserve">) the Standard Contractual Clauses shall apply to such transfers as provided in Section 4(b), above, (ii) the UK Addendum shall be deemed executed between the parties, and (iii) the Standard Contractual Clauses shall be deemed amended as specified by the UK Addendum in respect of the transfer of such Personal Data from the United Kingdom to countries that have not been the subject of an adequacy decision. </w:t>
      </w:r>
    </w:p>
    <w:p w14:paraId="2C3C43FB" w14:textId="77777777" w:rsidR="005B2D84" w:rsidRPr="007A548E" w:rsidRDefault="00665A71" w:rsidP="005B2D84">
      <w:pPr>
        <w:numPr>
          <w:ilvl w:val="0"/>
          <w:numId w:val="7"/>
        </w:numPr>
        <w:spacing w:after="28" w:line="241" w:lineRule="auto"/>
        <w:ind w:right="16" w:hanging="360"/>
      </w:pPr>
      <w:r w:rsidRPr="007A548E">
        <w:t>With respect to the transfer between the Parties of Relevant Personal Data from or originating in Switzerland, the Standard Contractual Clauses shall apply as provided in Section 4(b), above and as deemed amended as follows:</w:t>
      </w:r>
    </w:p>
    <w:p w14:paraId="10491ECF" w14:textId="77777777" w:rsidR="005B2D84" w:rsidRPr="007A548E" w:rsidRDefault="00665A71" w:rsidP="005B2D84">
      <w:pPr>
        <w:numPr>
          <w:ilvl w:val="1"/>
          <w:numId w:val="7"/>
        </w:numPr>
        <w:spacing w:after="28" w:line="241" w:lineRule="auto"/>
        <w:ind w:right="16"/>
      </w:pPr>
      <w:r w:rsidRPr="007A548E">
        <w:t xml:space="preserve">References to the Clauses means this Section 4(d) as it amends the Standard Contractual </w:t>
      </w:r>
      <w:proofErr w:type="gramStart"/>
      <w:r w:rsidRPr="007A548E">
        <w:t>Clauses;</w:t>
      </w:r>
      <w:proofErr w:type="gramEnd"/>
      <w:r w:rsidRPr="007A548E">
        <w:t xml:space="preserve"> </w:t>
      </w:r>
    </w:p>
    <w:p w14:paraId="1D2F1844" w14:textId="17F7D66E" w:rsidR="002D05BD" w:rsidRPr="007A548E" w:rsidRDefault="007049B4" w:rsidP="002F2FE7">
      <w:pPr>
        <w:numPr>
          <w:ilvl w:val="1"/>
          <w:numId w:val="7"/>
        </w:numPr>
        <w:spacing w:after="28" w:line="241" w:lineRule="auto"/>
        <w:ind w:right="116"/>
      </w:pPr>
      <w:r w:rsidRPr="007A548E">
        <w:t>References to “Regulation (EU) 2016/679”, or “that Regulation” shall be read as “</w:t>
      </w:r>
      <w:r w:rsidRPr="007A548E">
        <w:t>FADP</w:t>
      </w:r>
      <w:r w:rsidRPr="007A548E">
        <w:t xml:space="preserve">”; References to specific Article(s) of, or obligations under, the GDPR </w:t>
      </w:r>
      <w:r w:rsidRPr="007A548E">
        <w:t xml:space="preserve">are replaced with the equivalent Article of, or obligation under, the </w:t>
      </w:r>
      <w:proofErr w:type="gramStart"/>
      <w:r w:rsidRPr="007A548E">
        <w:t>FADP;</w:t>
      </w:r>
      <w:proofErr w:type="gramEnd"/>
      <w:r w:rsidRPr="007A548E">
        <w:t xml:space="preserve"> </w:t>
      </w:r>
    </w:p>
    <w:p w14:paraId="32C2B103" w14:textId="77777777" w:rsidR="002D05BD" w:rsidRPr="007A548E" w:rsidRDefault="007049B4" w:rsidP="002F2FE7">
      <w:pPr>
        <w:numPr>
          <w:ilvl w:val="1"/>
          <w:numId w:val="7"/>
        </w:numPr>
        <w:spacing w:after="28" w:line="241" w:lineRule="auto"/>
        <w:ind w:right="116"/>
      </w:pPr>
      <w:r w:rsidRPr="007A548E">
        <w:t xml:space="preserve">References </w:t>
      </w:r>
      <w:r w:rsidRPr="007A548E">
        <w:t xml:space="preserve">to “Regulation (EU) 2018/1725” are </w:t>
      </w:r>
      <w:proofErr w:type="gramStart"/>
      <w:r w:rsidRPr="007A548E">
        <w:t>removed;</w:t>
      </w:r>
      <w:proofErr w:type="gramEnd"/>
      <w:r w:rsidRPr="007A548E">
        <w:t xml:space="preserve"> </w:t>
      </w:r>
    </w:p>
    <w:p w14:paraId="720D7E6D" w14:textId="77777777" w:rsidR="002D05BD" w:rsidRPr="007A548E" w:rsidRDefault="007049B4" w:rsidP="002F2FE7">
      <w:pPr>
        <w:numPr>
          <w:ilvl w:val="1"/>
          <w:numId w:val="7"/>
        </w:numPr>
        <w:spacing w:after="0" w:line="240" w:lineRule="auto"/>
        <w:ind w:right="116"/>
      </w:pPr>
      <w:r w:rsidRPr="007A548E">
        <w:t xml:space="preserve">the data subject rights referred to in Clause 10 of the Standard Contractual Clauses shall be deemed amended </w:t>
      </w:r>
      <w:proofErr w:type="gramStart"/>
      <w:r w:rsidRPr="007A548E">
        <w:t>so as to</w:t>
      </w:r>
      <w:proofErr w:type="gramEnd"/>
      <w:r w:rsidRPr="007A548E">
        <w:t xml:space="preserve"> refer to the rights granted to data subjects under the </w:t>
      </w:r>
      <w:proofErr w:type="gramStart"/>
      <w:r w:rsidRPr="007A548E">
        <w:t>FADP;</w:t>
      </w:r>
      <w:proofErr w:type="gramEnd"/>
      <w:r w:rsidRPr="007A548E">
        <w:t xml:space="preserve"> </w:t>
      </w:r>
    </w:p>
    <w:p w14:paraId="0AB82099" w14:textId="77777777" w:rsidR="002D05BD" w:rsidRPr="007A548E" w:rsidRDefault="007049B4" w:rsidP="00E8013D">
      <w:pPr>
        <w:numPr>
          <w:ilvl w:val="1"/>
          <w:numId w:val="7"/>
        </w:numPr>
        <w:spacing w:after="28" w:line="240" w:lineRule="auto"/>
        <w:ind w:right="207"/>
      </w:pPr>
      <w:r w:rsidRPr="007A548E">
        <w:t xml:space="preserve">Clause 13(a) and Part C of Annex I of the Standard Contractual Clauses are not used and the competent supervisory authority for purposes of Clause 13 of the Standard Contractual Clauses shall be the Swiss Federal Data </w:t>
      </w:r>
    </w:p>
    <w:p w14:paraId="5197329A" w14:textId="77777777" w:rsidR="002F2FE7" w:rsidRPr="007A548E" w:rsidRDefault="00665A71" w:rsidP="00E8013D">
      <w:pPr>
        <w:numPr>
          <w:ilvl w:val="1"/>
          <w:numId w:val="7"/>
        </w:numPr>
        <w:spacing w:after="28" w:line="240" w:lineRule="auto"/>
        <w:ind w:right="207"/>
      </w:pPr>
      <w:r w:rsidRPr="007A548E">
        <w:t>Protection and Information Commissioner; vi.</w:t>
      </w:r>
      <w:r w:rsidRPr="007A548E">
        <w:rPr>
          <w:rFonts w:ascii="Arial" w:eastAsia="Arial" w:hAnsi="Arial" w:cs="Arial"/>
        </w:rPr>
        <w:t xml:space="preserve"> </w:t>
      </w:r>
      <w:r w:rsidRPr="007A548E">
        <w:t>References to “Union”, “EU”,</w:t>
      </w:r>
      <w:r w:rsidR="00792AC6" w:rsidRPr="007A548E">
        <w:t xml:space="preserve"> a</w:t>
      </w:r>
      <w:r w:rsidRPr="007A548E">
        <w:t>nd “EU Member State” are to be replaced with “Switzerland</w:t>
      </w:r>
      <w:proofErr w:type="gramStart"/>
      <w:r w:rsidRPr="007A548E">
        <w:t>”;</w:t>
      </w:r>
      <w:proofErr w:type="gramEnd"/>
      <w:r w:rsidRPr="007A548E">
        <w:t xml:space="preserve"> </w:t>
      </w:r>
    </w:p>
    <w:p w14:paraId="7D7912B3" w14:textId="3AA36A9A" w:rsidR="002D05BD" w:rsidRPr="007A548E" w:rsidRDefault="007049B4" w:rsidP="00E8013D">
      <w:pPr>
        <w:numPr>
          <w:ilvl w:val="1"/>
          <w:numId w:val="7"/>
        </w:numPr>
        <w:spacing w:after="28" w:line="240" w:lineRule="auto"/>
        <w:ind w:right="207"/>
      </w:pPr>
      <w:r w:rsidRPr="007A548E">
        <w:t xml:space="preserve">For purposes of Clause 17 of the Standard Contractual Clauses the governing law shall be that of </w:t>
      </w:r>
      <w:proofErr w:type="gramStart"/>
      <w:r w:rsidRPr="007A548E">
        <w:t>Switzerland;</w:t>
      </w:r>
      <w:proofErr w:type="gramEnd"/>
      <w:r w:rsidRPr="007A548E">
        <w:t xml:space="preserve"> </w:t>
      </w:r>
    </w:p>
    <w:p w14:paraId="28CF6579" w14:textId="77777777" w:rsidR="002D05BD" w:rsidRPr="007A548E" w:rsidRDefault="007049B4">
      <w:pPr>
        <w:numPr>
          <w:ilvl w:val="1"/>
          <w:numId w:val="9"/>
        </w:numPr>
        <w:ind w:right="6" w:hanging="480"/>
      </w:pPr>
      <w:r w:rsidRPr="007A548E">
        <w:t xml:space="preserve">Clause 18 is replaced to state: “Any dispute arising from these clauses shall </w:t>
      </w:r>
      <w:r w:rsidRPr="007A548E">
        <w:t>be resolved by the courts of Switzerland. A data subject</w:t>
      </w:r>
      <w:r w:rsidRPr="007A548E">
        <w:t xml:space="preserve"> may also bring legal proceedings against the data exporter and/or data importer before the courts of Switzerland. The parties agree to submit themselves to the </w:t>
      </w:r>
      <w:r w:rsidRPr="007A548E">
        <w:t>jurisdiction of such courts</w:t>
      </w:r>
      <w:proofErr w:type="gramStart"/>
      <w:r w:rsidRPr="007A548E">
        <w:t>”;</w:t>
      </w:r>
      <w:proofErr w:type="gramEnd"/>
      <w:r w:rsidRPr="007A548E">
        <w:t xml:space="preserve"> </w:t>
      </w:r>
    </w:p>
    <w:p w14:paraId="3774A3F5" w14:textId="77777777" w:rsidR="002D05BD" w:rsidRPr="007A548E" w:rsidRDefault="007049B4">
      <w:pPr>
        <w:numPr>
          <w:ilvl w:val="1"/>
          <w:numId w:val="9"/>
        </w:numPr>
        <w:ind w:right="6" w:hanging="480"/>
      </w:pPr>
      <w:r w:rsidRPr="007A548E">
        <w:t xml:space="preserve">where the Standard Contractual Clauses use terms that are defined in the FADP, those terms shall be deemed to have the equivalent meaning for those terms as defined in the FADP; and </w:t>
      </w:r>
    </w:p>
    <w:p w14:paraId="10C2AF0B" w14:textId="77777777" w:rsidR="002D05BD" w:rsidRPr="007A548E" w:rsidRDefault="007049B4">
      <w:pPr>
        <w:numPr>
          <w:ilvl w:val="1"/>
          <w:numId w:val="9"/>
        </w:numPr>
        <w:ind w:right="6" w:hanging="480"/>
      </w:pPr>
      <w:proofErr w:type="gramStart"/>
      <w:r w:rsidRPr="007A548E">
        <w:t>the</w:t>
      </w:r>
      <w:proofErr w:type="gramEnd"/>
      <w:r w:rsidRPr="007A548E">
        <w:t xml:space="preserve"> footnotes to the Standard Contractual Clauses shall not apply.  </w:t>
      </w:r>
    </w:p>
    <w:p w14:paraId="17C205F3" w14:textId="77777777" w:rsidR="002D05BD" w:rsidRPr="007A548E" w:rsidRDefault="007049B4">
      <w:pPr>
        <w:numPr>
          <w:ilvl w:val="0"/>
          <w:numId w:val="7"/>
        </w:numPr>
        <w:spacing w:after="183"/>
        <w:ind w:right="6" w:hanging="481"/>
      </w:pPr>
      <w:r w:rsidRPr="007A548E">
        <w:lastRenderedPageBreak/>
        <w:t xml:space="preserve">Where any mechanism for international transfers of Personal Data ceases for any reason to be a valid means of complying with the restrictions on transferring Personal Data to a third country as set out in Data Protection Laws, or otherwise ceases to apply for any reason, the parties shall act in good faith to agree the implementation of an alternative solution to enable both parties to comply with Data Protection Laws.    </w:t>
      </w:r>
    </w:p>
    <w:p w14:paraId="096B03A9" w14:textId="77777777" w:rsidR="002D05BD" w:rsidRPr="007A548E" w:rsidRDefault="007049B4">
      <w:pPr>
        <w:spacing w:after="0" w:line="259" w:lineRule="auto"/>
        <w:ind w:left="120" w:firstLine="0"/>
      </w:pPr>
      <w:r w:rsidRPr="007A548E">
        <w:rPr>
          <w:rFonts w:ascii="Calibri" w:eastAsia="Calibri" w:hAnsi="Calibri" w:cs="Calibri"/>
          <w:b/>
        </w:rPr>
        <w:t xml:space="preserve">  </w:t>
      </w:r>
    </w:p>
    <w:p w14:paraId="69782FB3" w14:textId="77777777" w:rsidR="002D05BD" w:rsidRPr="007A548E" w:rsidRDefault="007049B4">
      <w:pPr>
        <w:pStyle w:val="Heading1"/>
        <w:ind w:left="115"/>
      </w:pPr>
      <w:bookmarkStart w:id="12" w:name="_Toc219973372"/>
      <w:r w:rsidRPr="007A548E">
        <w:t>5.0 Rights of Data Subjects</w:t>
      </w:r>
      <w:bookmarkEnd w:id="12"/>
      <w:r w:rsidRPr="007A548E">
        <w:t xml:space="preserve">  </w:t>
      </w:r>
    </w:p>
    <w:p w14:paraId="42CAE6E7" w14:textId="77777777" w:rsidR="002D05BD" w:rsidRPr="007A548E" w:rsidRDefault="007049B4">
      <w:pPr>
        <w:numPr>
          <w:ilvl w:val="0"/>
          <w:numId w:val="10"/>
        </w:numPr>
        <w:ind w:right="6" w:hanging="536"/>
      </w:pPr>
      <w:r w:rsidRPr="007A548E">
        <w:t xml:space="preserve">Taking into account the nature of the Processing, </w:t>
      </w:r>
      <w:proofErr w:type="spellStart"/>
      <w:r w:rsidRPr="007A548E">
        <w:t>Energage</w:t>
      </w:r>
      <w:proofErr w:type="spellEnd"/>
      <w:r w:rsidRPr="007A548E">
        <w:t xml:space="preserve"> shall assist Controller by implementing appropriate technical and organizational measures, insofar as </w:t>
      </w:r>
      <w:r w:rsidRPr="007A548E">
        <w:t xml:space="preserve">possible, for the fulfillment of Controller’s obligations, to enable Controller to </w:t>
      </w:r>
      <w:r w:rsidRPr="007A548E">
        <w:t>respond to requests to exercise Data Subject rights under applicable data protection laws, including subject access rights, the rights to rectify, port and erase personal data, object to the processing and automated processing of personal data, and restrict the processing of personal data and to comply with informati</w:t>
      </w:r>
      <w:r w:rsidRPr="007A548E">
        <w:t xml:space="preserve">on or assessment notices served on the Controller by the relevant Supervisory Authority under data protection legislation.  </w:t>
      </w:r>
    </w:p>
    <w:p w14:paraId="7D0915F0" w14:textId="77777777" w:rsidR="002D05BD" w:rsidRPr="007A548E" w:rsidRDefault="007049B4">
      <w:pPr>
        <w:numPr>
          <w:ilvl w:val="0"/>
          <w:numId w:val="10"/>
        </w:numPr>
        <w:ind w:right="6" w:hanging="536"/>
      </w:pPr>
      <w:r w:rsidRPr="007A548E">
        <w:t xml:space="preserve">In regard to </w:t>
      </w:r>
      <w:hyperlink r:id="rId18">
        <w:r w:rsidRPr="007A548E">
          <w:rPr>
            <w:color w:val="4F81BD"/>
          </w:rPr>
          <w:t>Data Subject Requests</w:t>
        </w:r>
      </w:hyperlink>
      <w:hyperlink r:id="rId19">
        <w:r w:rsidRPr="007A548E">
          <w:t>,</w:t>
        </w:r>
      </w:hyperlink>
      <w:r w:rsidRPr="007A548E">
        <w:t xml:space="preserve"> </w:t>
      </w:r>
      <w:proofErr w:type="spellStart"/>
      <w:r w:rsidRPr="007A548E">
        <w:t>Energage</w:t>
      </w:r>
      <w:proofErr w:type="spellEnd"/>
      <w:r w:rsidRPr="007A548E">
        <w:t xml:space="preserve"> shall:  </w:t>
      </w:r>
    </w:p>
    <w:p w14:paraId="609B9936" w14:textId="77777777" w:rsidR="002D05BD" w:rsidRPr="007A548E" w:rsidRDefault="007049B4">
      <w:pPr>
        <w:numPr>
          <w:ilvl w:val="1"/>
          <w:numId w:val="10"/>
        </w:numPr>
        <w:ind w:right="6" w:hanging="480"/>
      </w:pPr>
      <w:r w:rsidRPr="007A548E">
        <w:t xml:space="preserve">promptly notify Controller if it receives a request from a Data Subject under any applicable data protection laws in respect of Controller Personal Data and/or any complaint, notice or communication that relates directly or indirectly to the processing of the Personal Data or to either party's compliance with data protection legislation; and  </w:t>
      </w:r>
    </w:p>
    <w:p w14:paraId="4C51A4BA" w14:textId="77777777" w:rsidR="002D05BD" w:rsidRPr="007A548E" w:rsidRDefault="007049B4">
      <w:pPr>
        <w:numPr>
          <w:ilvl w:val="1"/>
          <w:numId w:val="10"/>
        </w:numPr>
        <w:spacing w:after="228"/>
        <w:ind w:right="6" w:hanging="480"/>
      </w:pPr>
      <w:r w:rsidRPr="007A548E">
        <w:t xml:space="preserve">ensure that it does not respond to any request from a Data Subject except on documented instructions of Controller or as required by applicable data protection laws to which </w:t>
      </w:r>
      <w:proofErr w:type="spellStart"/>
      <w:r w:rsidRPr="007A548E">
        <w:t>Energage</w:t>
      </w:r>
      <w:proofErr w:type="spellEnd"/>
      <w:r w:rsidRPr="007A548E">
        <w:t xml:space="preserve"> is subject, in which </w:t>
      </w:r>
      <w:proofErr w:type="gramStart"/>
      <w:r w:rsidRPr="007A548E">
        <w:t>case,</w:t>
      </w:r>
      <w:proofErr w:type="gramEnd"/>
      <w:r w:rsidRPr="007A548E">
        <w:t xml:space="preserve"> </w:t>
      </w:r>
      <w:proofErr w:type="spellStart"/>
      <w:r w:rsidRPr="007A548E">
        <w:t>Energage</w:t>
      </w:r>
      <w:proofErr w:type="spellEnd"/>
      <w:r w:rsidRPr="007A548E">
        <w:t xml:space="preserve"> shall, to the extent permitted by applicable data protection laws, inform Controller of that legal requirement before responding to the request.  </w:t>
      </w:r>
    </w:p>
    <w:p w14:paraId="732953ED" w14:textId="77777777" w:rsidR="002D05BD" w:rsidRPr="007A548E" w:rsidRDefault="007049B4">
      <w:pPr>
        <w:pStyle w:val="Heading2"/>
        <w:spacing w:after="0"/>
        <w:ind w:left="115"/>
      </w:pPr>
      <w:bookmarkStart w:id="13" w:name="_Toc219973373"/>
      <w:r w:rsidRPr="007A548E">
        <w:t>5.1 Data Protection Impact Assessment</w:t>
      </w:r>
      <w:bookmarkEnd w:id="13"/>
      <w:r w:rsidRPr="007A548E">
        <w:t xml:space="preserve">  </w:t>
      </w:r>
    </w:p>
    <w:p w14:paraId="13859B91" w14:textId="77777777" w:rsidR="002D05BD" w:rsidRPr="007A548E" w:rsidRDefault="007049B4">
      <w:pPr>
        <w:numPr>
          <w:ilvl w:val="0"/>
          <w:numId w:val="11"/>
        </w:numPr>
        <w:ind w:right="6" w:hanging="481"/>
      </w:pPr>
      <w:r w:rsidRPr="007A548E">
        <w:t>u</w:t>
      </w:r>
      <w:r w:rsidRPr="007A548E">
        <w:t xml:space="preserve">pon Controller’s reasonable request, </w:t>
      </w:r>
      <w:proofErr w:type="spellStart"/>
      <w:r w:rsidRPr="007A548E">
        <w:t>Energage</w:t>
      </w:r>
      <w:proofErr w:type="spellEnd"/>
      <w:r w:rsidRPr="007A548E">
        <w:t xml:space="preserve"> shall provide Controller with </w:t>
      </w:r>
      <w:r w:rsidRPr="007A548E">
        <w:t xml:space="preserve">commercially reasonable cooperation and assistance needed to fulfill Controller’s </w:t>
      </w:r>
      <w:r w:rsidRPr="007A548E">
        <w:t xml:space="preserve">obligation under the GDPR to carry out a data protection impact assessment related </w:t>
      </w:r>
      <w:r w:rsidRPr="007A548E">
        <w:t>to Controller’s use of the Services, to the extent Controlle</w:t>
      </w:r>
      <w:r w:rsidRPr="007A548E">
        <w:t xml:space="preserve">r does not otherwise have access to the relevant information, and to the extent such information is available to </w:t>
      </w:r>
      <w:proofErr w:type="spellStart"/>
      <w:r w:rsidRPr="007A548E">
        <w:t>Energage</w:t>
      </w:r>
      <w:proofErr w:type="spellEnd"/>
      <w:r w:rsidRPr="007A548E">
        <w:t xml:space="preserve">.  </w:t>
      </w:r>
    </w:p>
    <w:p w14:paraId="07ADD5E2" w14:textId="77777777" w:rsidR="002D05BD" w:rsidRPr="007A548E" w:rsidRDefault="007049B4">
      <w:pPr>
        <w:numPr>
          <w:ilvl w:val="0"/>
          <w:numId w:val="11"/>
        </w:numPr>
        <w:spacing w:after="547"/>
        <w:ind w:right="6" w:hanging="481"/>
      </w:pPr>
      <w:proofErr w:type="spellStart"/>
      <w:r w:rsidRPr="007A548E">
        <w:t>Energage</w:t>
      </w:r>
      <w:proofErr w:type="spellEnd"/>
      <w:r w:rsidRPr="007A548E">
        <w:t xml:space="preserve"> shall provide commercially reasonable assistance to Controller in the cooperation or prior consultation with the Supervisory Authority to the extent required under the GDPR or other applicable data protection laws.  </w:t>
      </w:r>
    </w:p>
    <w:p w14:paraId="32F2E82A" w14:textId="77777777" w:rsidR="002D05BD" w:rsidRPr="007A548E" w:rsidRDefault="007049B4">
      <w:pPr>
        <w:pStyle w:val="Heading1"/>
        <w:ind w:left="115"/>
      </w:pPr>
      <w:bookmarkStart w:id="14" w:name="_Toc219973374"/>
      <w:r w:rsidRPr="007A548E">
        <w:lastRenderedPageBreak/>
        <w:t>6.0 Security Reports and Audits</w:t>
      </w:r>
      <w:bookmarkEnd w:id="14"/>
      <w:r w:rsidRPr="007A548E">
        <w:t xml:space="preserve">  </w:t>
      </w:r>
    </w:p>
    <w:p w14:paraId="2BC15B6A" w14:textId="77777777" w:rsidR="002D05BD" w:rsidRPr="007A548E" w:rsidRDefault="007049B4">
      <w:pPr>
        <w:numPr>
          <w:ilvl w:val="0"/>
          <w:numId w:val="12"/>
        </w:numPr>
        <w:ind w:right="6" w:hanging="481"/>
      </w:pPr>
      <w:proofErr w:type="spellStart"/>
      <w:r w:rsidRPr="007A548E">
        <w:t>Energage</w:t>
      </w:r>
      <w:proofErr w:type="spellEnd"/>
      <w:r w:rsidRPr="007A548E">
        <w:t xml:space="preserve"> will permit the Controller or a representative to audit </w:t>
      </w:r>
      <w:proofErr w:type="spellStart"/>
      <w:r w:rsidRPr="007A548E">
        <w:t>Energage’s</w:t>
      </w:r>
      <w:proofErr w:type="spellEnd"/>
      <w:r w:rsidRPr="007A548E">
        <w:t xml:space="preserve"> </w:t>
      </w:r>
      <w:r w:rsidRPr="007A548E">
        <w:t xml:space="preserve">compliance with this DPA, on at least seven days' prior written notice and not more than once in any twelve (12) month period. </w:t>
      </w:r>
      <w:proofErr w:type="spellStart"/>
      <w:r w:rsidRPr="007A548E">
        <w:t>Energage</w:t>
      </w:r>
      <w:proofErr w:type="spellEnd"/>
      <w:r w:rsidRPr="007A548E">
        <w:t xml:space="preserve"> will give the Controller all necessary assistance to conduct such audits. If such an audit occurs, Controller shall bear </w:t>
      </w:r>
      <w:proofErr w:type="gramStart"/>
      <w:r w:rsidRPr="007A548E">
        <w:t>all of</w:t>
      </w:r>
      <w:proofErr w:type="gramEnd"/>
      <w:r w:rsidRPr="007A548E">
        <w:t xml:space="preserve"> its own costs of conducting the audit or those of its representative. The assistance may include, but is not limited to:  </w:t>
      </w:r>
    </w:p>
    <w:p w14:paraId="33DCC847" w14:textId="77777777" w:rsidR="002D05BD" w:rsidRPr="007A548E" w:rsidRDefault="007049B4">
      <w:pPr>
        <w:numPr>
          <w:ilvl w:val="1"/>
          <w:numId w:val="12"/>
        </w:numPr>
        <w:ind w:right="81" w:hanging="480"/>
      </w:pPr>
      <w:r w:rsidRPr="007A548E">
        <w:t xml:space="preserve">access to and meetings with any of </w:t>
      </w:r>
      <w:proofErr w:type="spellStart"/>
      <w:r w:rsidRPr="007A548E">
        <w:t>Energage’s</w:t>
      </w:r>
      <w:proofErr w:type="spellEnd"/>
      <w:r w:rsidRPr="007A548E">
        <w:t xml:space="preserve"> personnel reasonably </w:t>
      </w:r>
      <w:r w:rsidRPr="007A548E">
        <w:t xml:space="preserve">necessary to provide all explanations and perform the audit effectively; and  </w:t>
      </w:r>
    </w:p>
    <w:p w14:paraId="37FC0C4F" w14:textId="77777777" w:rsidR="002D05BD" w:rsidRPr="007A548E" w:rsidRDefault="007049B4">
      <w:pPr>
        <w:numPr>
          <w:ilvl w:val="1"/>
          <w:numId w:val="12"/>
        </w:numPr>
        <w:spacing w:after="192"/>
        <w:ind w:right="81" w:hanging="480"/>
      </w:pPr>
      <w:r w:rsidRPr="007A548E">
        <w:t xml:space="preserve">makes available to the controller all information necessary to demonstrate compliance with the obligations laid down in this DPA and allow for and contribute to audits, including inspections, conducted by the controller or another auditor mandated by the controller. </w:t>
      </w:r>
    </w:p>
    <w:p w14:paraId="5B70F53C" w14:textId="77777777" w:rsidR="002D05BD" w:rsidRPr="007A548E" w:rsidRDefault="007049B4">
      <w:pPr>
        <w:numPr>
          <w:ilvl w:val="0"/>
          <w:numId w:val="12"/>
        </w:numPr>
        <w:ind w:right="6" w:hanging="481"/>
      </w:pPr>
      <w:r w:rsidRPr="007A548E">
        <w:t xml:space="preserve">The limitation on conducting one audit in any twelve (12) month period will not apply if:   </w:t>
      </w:r>
    </w:p>
    <w:p w14:paraId="6D2A89A2" w14:textId="77777777" w:rsidR="00665A71" w:rsidRPr="007A548E" w:rsidRDefault="007049B4">
      <w:pPr>
        <w:numPr>
          <w:ilvl w:val="1"/>
          <w:numId w:val="12"/>
        </w:numPr>
        <w:ind w:right="81" w:hanging="480"/>
      </w:pPr>
      <w:proofErr w:type="gramStart"/>
      <w:r w:rsidRPr="007A548E">
        <w:t>the</w:t>
      </w:r>
      <w:proofErr w:type="gramEnd"/>
      <w:r w:rsidRPr="007A548E">
        <w:t xml:space="preserve"> Controller reasonably believes that a Personal Data Breach occurred,   </w:t>
      </w:r>
    </w:p>
    <w:p w14:paraId="177CE407" w14:textId="18C58922" w:rsidR="002D05BD" w:rsidRPr="007A548E" w:rsidRDefault="007049B4">
      <w:pPr>
        <w:numPr>
          <w:ilvl w:val="1"/>
          <w:numId w:val="12"/>
        </w:numPr>
        <w:ind w:right="81" w:hanging="480"/>
      </w:pPr>
      <w:r w:rsidRPr="007A548E">
        <w:t>ii.</w:t>
      </w:r>
      <w:r w:rsidRPr="007A548E">
        <w:rPr>
          <w:rFonts w:ascii="Arial" w:eastAsia="Arial" w:hAnsi="Arial" w:cs="Arial"/>
        </w:rPr>
        <w:t xml:space="preserve"> </w:t>
      </w:r>
      <w:r w:rsidRPr="007A548E">
        <w:t xml:space="preserve">if such audit is mandated by the relevant Supervisory Authority.  </w:t>
      </w:r>
    </w:p>
    <w:p w14:paraId="2D44A33B" w14:textId="77777777" w:rsidR="002D05BD" w:rsidRPr="007A548E" w:rsidRDefault="007049B4">
      <w:pPr>
        <w:numPr>
          <w:ilvl w:val="0"/>
          <w:numId w:val="12"/>
        </w:numPr>
        <w:ind w:right="6" w:hanging="481"/>
      </w:pPr>
      <w:r w:rsidRPr="007A548E">
        <w:t xml:space="preserve">If a Personal Data Breach occurs or is occurring or </w:t>
      </w:r>
      <w:proofErr w:type="spellStart"/>
      <w:r w:rsidRPr="007A548E">
        <w:t>Energage</w:t>
      </w:r>
      <w:proofErr w:type="spellEnd"/>
      <w:r w:rsidRPr="007A548E">
        <w:t xml:space="preserve"> becomes aware of a breach of any of its obligations under this DPA or any applicable data protection laws, </w:t>
      </w:r>
      <w:proofErr w:type="spellStart"/>
      <w:r w:rsidRPr="007A548E">
        <w:t>Energage</w:t>
      </w:r>
      <w:proofErr w:type="spellEnd"/>
      <w:r w:rsidRPr="007A548E">
        <w:t xml:space="preserve"> will:  </w:t>
      </w:r>
    </w:p>
    <w:p w14:paraId="12A05F3B" w14:textId="77777777" w:rsidR="00665A71" w:rsidRPr="007A548E" w:rsidRDefault="007049B4">
      <w:pPr>
        <w:numPr>
          <w:ilvl w:val="1"/>
          <w:numId w:val="12"/>
        </w:numPr>
        <w:ind w:right="81" w:hanging="480"/>
      </w:pPr>
      <w:r w:rsidRPr="007A548E">
        <w:t xml:space="preserve">notify Controller promptly as detailed </w:t>
      </w:r>
      <w:proofErr w:type="gramStart"/>
      <w:r w:rsidRPr="007A548E">
        <w:t>above;</w:t>
      </w:r>
      <w:proofErr w:type="gramEnd"/>
      <w:r w:rsidRPr="007A548E">
        <w:t xml:space="preserve">  </w:t>
      </w:r>
    </w:p>
    <w:p w14:paraId="3D36DB3C" w14:textId="372010AB" w:rsidR="002D05BD" w:rsidRPr="007A548E" w:rsidRDefault="007049B4">
      <w:pPr>
        <w:numPr>
          <w:ilvl w:val="1"/>
          <w:numId w:val="12"/>
        </w:numPr>
        <w:ind w:right="81" w:hanging="480"/>
      </w:pPr>
      <w:r w:rsidRPr="007A548E">
        <w:t xml:space="preserve">promptly conduct its own audit to determine the </w:t>
      </w:r>
      <w:proofErr w:type="gramStart"/>
      <w:r w:rsidRPr="007A548E">
        <w:t>cause;</w:t>
      </w:r>
      <w:proofErr w:type="gramEnd"/>
      <w:r w:rsidRPr="007A548E">
        <w:t xml:space="preserve">  </w:t>
      </w:r>
    </w:p>
    <w:p w14:paraId="7C856D9A" w14:textId="183DDFF5" w:rsidR="002D05BD" w:rsidRPr="007A548E" w:rsidRDefault="007049B4">
      <w:pPr>
        <w:spacing w:after="542"/>
        <w:ind w:left="1561" w:right="6" w:hanging="480"/>
      </w:pPr>
      <w:r w:rsidRPr="007A548E">
        <w:t>iii.</w:t>
      </w:r>
      <w:r w:rsidRPr="007A548E">
        <w:rPr>
          <w:rFonts w:ascii="Arial" w:eastAsia="Arial" w:hAnsi="Arial" w:cs="Arial"/>
        </w:rPr>
        <w:t xml:space="preserve"> </w:t>
      </w:r>
      <w:r w:rsidR="00665A71" w:rsidRPr="007A548E">
        <w:rPr>
          <w:rFonts w:ascii="Arial" w:eastAsia="Arial" w:hAnsi="Arial" w:cs="Arial"/>
        </w:rPr>
        <w:t xml:space="preserve">   </w:t>
      </w:r>
      <w:r w:rsidRPr="007A548E">
        <w:t xml:space="preserve">remedy any deficiencies identified by the audit within a reasonable amount of time. </w:t>
      </w:r>
    </w:p>
    <w:p w14:paraId="25CAA0DC" w14:textId="77777777" w:rsidR="002D05BD" w:rsidRPr="007A548E" w:rsidRDefault="007049B4">
      <w:pPr>
        <w:pStyle w:val="Heading1"/>
        <w:spacing w:after="69"/>
        <w:ind w:left="115"/>
      </w:pPr>
      <w:bookmarkStart w:id="15" w:name="_Toc219973375"/>
      <w:r w:rsidRPr="007A548E">
        <w:t xml:space="preserve">7.0 </w:t>
      </w:r>
      <w:r w:rsidRPr="007A548E">
        <w:t>LIMITATION OF LIABILITY</w:t>
      </w:r>
      <w:bookmarkEnd w:id="15"/>
      <w:r w:rsidRPr="007A548E">
        <w:t xml:space="preserve">  </w:t>
      </w:r>
    </w:p>
    <w:p w14:paraId="6989F1C2" w14:textId="77777777" w:rsidR="002D05BD" w:rsidRPr="007A548E" w:rsidRDefault="007049B4">
      <w:pPr>
        <w:spacing w:after="173"/>
        <w:ind w:right="6"/>
      </w:pPr>
      <w:r w:rsidRPr="007A548E">
        <w:t xml:space="preserve">Notwithstanding anything to the contrary in the Agreement or this DPA and to the </w:t>
      </w:r>
      <w:r w:rsidRPr="007A548E">
        <w:t xml:space="preserve">maximum extent permitted by law, each Party’s liability, in the aggregate, arising out of or </w:t>
      </w:r>
      <w:r w:rsidRPr="007A548E">
        <w:t xml:space="preserve">related to this DPA, whether in contract, tort or under any other theory of liability, will remain subject to the limitation of liability section of the Agreement. </w:t>
      </w:r>
    </w:p>
    <w:p w14:paraId="6C0C9782" w14:textId="77777777" w:rsidR="002D05BD" w:rsidRPr="007A548E" w:rsidRDefault="007049B4">
      <w:pPr>
        <w:spacing w:after="5" w:line="390" w:lineRule="auto"/>
        <w:ind w:left="120" w:right="9304" w:firstLine="0"/>
      </w:pPr>
      <w:r w:rsidRPr="007A548E">
        <w:t xml:space="preserve">    </w:t>
      </w:r>
    </w:p>
    <w:p w14:paraId="5AA5F093" w14:textId="77777777" w:rsidR="004D6C46" w:rsidRPr="007A548E" w:rsidRDefault="004D6C46">
      <w:pPr>
        <w:spacing w:after="4" w:line="390" w:lineRule="auto"/>
        <w:ind w:left="120" w:right="9304" w:firstLine="0"/>
      </w:pPr>
    </w:p>
    <w:p w14:paraId="3A1D55FB" w14:textId="784111AB" w:rsidR="002D05BD" w:rsidRPr="007A548E" w:rsidRDefault="002D05BD" w:rsidP="005A716E">
      <w:pPr>
        <w:spacing w:after="4" w:line="390" w:lineRule="auto"/>
        <w:ind w:left="0" w:right="9304" w:firstLine="0"/>
      </w:pPr>
    </w:p>
    <w:p w14:paraId="20CFC3D9" w14:textId="3E21A842" w:rsidR="00697357" w:rsidRPr="007A548E" w:rsidRDefault="007049B4" w:rsidP="00D72446">
      <w:pPr>
        <w:spacing w:after="0" w:line="259" w:lineRule="auto"/>
        <w:ind w:left="120" w:firstLine="0"/>
      </w:pPr>
      <w:r w:rsidRPr="007A548E">
        <w:t xml:space="preserve"> </w:t>
      </w:r>
      <w:r w:rsidRPr="007A548E">
        <w:tab/>
        <w:t xml:space="preserve"> </w:t>
      </w:r>
    </w:p>
    <w:p w14:paraId="49C6ED8F" w14:textId="77777777" w:rsidR="00D72446" w:rsidRPr="007A548E" w:rsidRDefault="00D72446">
      <w:pPr>
        <w:spacing w:after="160" w:line="278" w:lineRule="auto"/>
        <w:ind w:left="0" w:firstLine="0"/>
        <w:rPr>
          <w:rFonts w:ascii="Calibri" w:eastAsia="Calibri" w:hAnsi="Calibri" w:cs="Calibri"/>
          <w:b/>
          <w:sz w:val="32"/>
        </w:rPr>
      </w:pPr>
      <w:r w:rsidRPr="007A548E">
        <w:br w:type="page"/>
      </w:r>
    </w:p>
    <w:p w14:paraId="2C1B03C5" w14:textId="2C40B75B" w:rsidR="002D05BD" w:rsidRPr="007A548E" w:rsidRDefault="007049B4">
      <w:pPr>
        <w:pStyle w:val="Heading1"/>
        <w:spacing w:after="68"/>
        <w:ind w:left="115"/>
      </w:pPr>
      <w:bookmarkStart w:id="16" w:name="_Toc219973376"/>
      <w:r w:rsidRPr="007A548E">
        <w:lastRenderedPageBreak/>
        <w:t xml:space="preserve">Exhibit 1 - </w:t>
      </w:r>
      <w:r w:rsidRPr="007A548E">
        <w:t>Description of Processing Activities </w:t>
      </w:r>
      <w:bookmarkEnd w:id="16"/>
      <w:r w:rsidRPr="007A548E">
        <w:t xml:space="preserve">  </w:t>
      </w:r>
    </w:p>
    <w:p w14:paraId="236C646D" w14:textId="77777777" w:rsidR="002D05BD" w:rsidRPr="007A548E" w:rsidRDefault="007049B4">
      <w:pPr>
        <w:spacing w:after="227"/>
        <w:ind w:right="6"/>
      </w:pPr>
      <w:r w:rsidRPr="007A548E">
        <w:t xml:space="preserve">This exhibit describes the parties involved, and types of personal data that will be processed, the purpose of the processing, and the duration of the processing.  </w:t>
      </w:r>
    </w:p>
    <w:p w14:paraId="1055647F" w14:textId="77777777" w:rsidR="002D05BD" w:rsidRPr="007A548E" w:rsidRDefault="007049B4">
      <w:pPr>
        <w:pStyle w:val="Heading2"/>
        <w:ind w:left="115"/>
      </w:pPr>
      <w:bookmarkStart w:id="17" w:name="_Toc219973377"/>
      <w:r w:rsidRPr="007A548E">
        <w:t>Annex I</w:t>
      </w:r>
      <w:bookmarkEnd w:id="17"/>
      <w:r w:rsidRPr="007A548E">
        <w:t xml:space="preserve">   </w:t>
      </w:r>
    </w:p>
    <w:p w14:paraId="36FD06C6" w14:textId="77777777" w:rsidR="002D05BD" w:rsidRPr="007A548E" w:rsidRDefault="007049B4">
      <w:pPr>
        <w:numPr>
          <w:ilvl w:val="0"/>
          <w:numId w:val="13"/>
        </w:numPr>
        <w:spacing w:after="9" w:line="250" w:lineRule="auto"/>
        <w:ind w:right="1" w:hanging="416"/>
      </w:pPr>
      <w:r w:rsidRPr="007A548E">
        <w:rPr>
          <w:b/>
        </w:rPr>
        <w:t xml:space="preserve">List of Parties  </w:t>
      </w:r>
    </w:p>
    <w:tbl>
      <w:tblPr>
        <w:tblStyle w:val="TableGrid"/>
        <w:tblW w:w="9909" w:type="dxa"/>
        <w:tblInd w:w="128" w:type="dxa"/>
        <w:tblCellMar>
          <w:top w:w="226" w:type="dxa"/>
          <w:right w:w="21" w:type="dxa"/>
        </w:tblCellMar>
        <w:tblLook w:val="04A0" w:firstRow="1" w:lastRow="0" w:firstColumn="1" w:lastColumn="0" w:noHBand="0" w:noVBand="1"/>
      </w:tblPr>
      <w:tblGrid>
        <w:gridCol w:w="4262"/>
        <w:gridCol w:w="5647"/>
      </w:tblGrid>
      <w:tr w:rsidR="002D05BD" w:rsidRPr="007A548E" w14:paraId="528B39BD" w14:textId="77777777">
        <w:trPr>
          <w:trHeight w:val="661"/>
        </w:trPr>
        <w:tc>
          <w:tcPr>
            <w:tcW w:w="4262" w:type="dxa"/>
            <w:tcBorders>
              <w:top w:val="single" w:sz="6" w:space="0" w:color="000000"/>
              <w:left w:val="single" w:sz="6" w:space="0" w:color="000000"/>
              <w:bottom w:val="single" w:sz="6" w:space="0" w:color="000000"/>
              <w:right w:val="single" w:sz="6" w:space="0" w:color="000000"/>
            </w:tcBorders>
            <w:vAlign w:val="center"/>
          </w:tcPr>
          <w:p w14:paraId="23F99AF8" w14:textId="77777777" w:rsidR="002D05BD" w:rsidRPr="007A548E" w:rsidRDefault="007049B4">
            <w:pPr>
              <w:spacing w:after="0" w:line="259" w:lineRule="auto"/>
              <w:ind w:left="22" w:firstLine="0"/>
              <w:jc w:val="center"/>
            </w:pPr>
            <w:r w:rsidRPr="007A548E">
              <w:rPr>
                <w:b/>
              </w:rPr>
              <w:t>Data exporter(s)</w:t>
            </w:r>
            <w:r w:rsidRPr="007A548E">
              <w:t xml:space="preserve"> </w:t>
            </w:r>
          </w:p>
        </w:tc>
        <w:tc>
          <w:tcPr>
            <w:tcW w:w="5647" w:type="dxa"/>
            <w:tcBorders>
              <w:top w:val="single" w:sz="6" w:space="0" w:color="000000"/>
              <w:left w:val="single" w:sz="6" w:space="0" w:color="000000"/>
              <w:bottom w:val="single" w:sz="6" w:space="0" w:color="000000"/>
              <w:right w:val="single" w:sz="6" w:space="0" w:color="000000"/>
            </w:tcBorders>
            <w:vAlign w:val="center"/>
          </w:tcPr>
          <w:p w14:paraId="39BAE90C" w14:textId="77777777" w:rsidR="002D05BD" w:rsidRPr="007A548E" w:rsidRDefault="007049B4">
            <w:pPr>
              <w:spacing w:after="0" w:line="259" w:lineRule="auto"/>
              <w:ind w:left="21" w:firstLine="0"/>
              <w:jc w:val="center"/>
            </w:pPr>
            <w:r w:rsidRPr="007A548E">
              <w:rPr>
                <w:b/>
              </w:rPr>
              <w:t>Data importer(s)</w:t>
            </w:r>
            <w:r w:rsidRPr="007A548E">
              <w:t xml:space="preserve"> </w:t>
            </w:r>
          </w:p>
        </w:tc>
      </w:tr>
      <w:tr w:rsidR="002D05BD" w:rsidRPr="007A548E" w14:paraId="3E212205" w14:textId="77777777">
        <w:trPr>
          <w:trHeight w:val="1215"/>
        </w:trPr>
        <w:tc>
          <w:tcPr>
            <w:tcW w:w="4262" w:type="dxa"/>
            <w:tcBorders>
              <w:top w:val="single" w:sz="6" w:space="0" w:color="000000"/>
              <w:left w:val="single" w:sz="6" w:space="0" w:color="000000"/>
              <w:bottom w:val="single" w:sz="6" w:space="0" w:color="000000"/>
              <w:right w:val="single" w:sz="6" w:space="0" w:color="000000"/>
            </w:tcBorders>
            <w:vAlign w:val="center"/>
          </w:tcPr>
          <w:p w14:paraId="4232F355" w14:textId="77777777" w:rsidR="002D05BD" w:rsidRPr="007A548E" w:rsidRDefault="007049B4">
            <w:pPr>
              <w:spacing w:after="0" w:line="259" w:lineRule="auto"/>
              <w:ind w:left="8" w:firstLine="0"/>
            </w:pPr>
            <w:r w:rsidRPr="007A548E">
              <w:t xml:space="preserve">Name:  </w:t>
            </w:r>
          </w:p>
          <w:p w14:paraId="37ADDE65" w14:textId="77777777" w:rsidR="002D05BD" w:rsidRPr="007A548E" w:rsidRDefault="007049B4">
            <w:pPr>
              <w:spacing w:after="0" w:line="259" w:lineRule="auto"/>
              <w:ind w:left="8" w:firstLine="0"/>
              <w:jc w:val="both"/>
            </w:pPr>
            <w:r w:rsidRPr="007A548E">
              <w:t xml:space="preserve">Customer as identified on Agreement/ order form  </w:t>
            </w:r>
          </w:p>
        </w:tc>
        <w:tc>
          <w:tcPr>
            <w:tcW w:w="5647" w:type="dxa"/>
            <w:tcBorders>
              <w:top w:val="single" w:sz="6" w:space="0" w:color="000000"/>
              <w:left w:val="single" w:sz="6" w:space="0" w:color="000000"/>
              <w:bottom w:val="single" w:sz="6" w:space="0" w:color="000000"/>
              <w:right w:val="single" w:sz="6" w:space="0" w:color="000000"/>
            </w:tcBorders>
          </w:tcPr>
          <w:p w14:paraId="24398C5B" w14:textId="77777777" w:rsidR="002D05BD" w:rsidRPr="007A548E" w:rsidRDefault="007049B4">
            <w:pPr>
              <w:spacing w:after="0" w:line="259" w:lineRule="auto"/>
              <w:ind w:left="8" w:firstLine="0"/>
            </w:pPr>
            <w:r w:rsidRPr="007A548E">
              <w:t xml:space="preserve">Name:  </w:t>
            </w:r>
          </w:p>
          <w:p w14:paraId="4ECA335C" w14:textId="77777777" w:rsidR="002D05BD" w:rsidRPr="007A548E" w:rsidRDefault="007049B4">
            <w:pPr>
              <w:spacing w:after="0" w:line="259" w:lineRule="auto"/>
              <w:ind w:left="8" w:firstLine="0"/>
            </w:pPr>
            <w:proofErr w:type="spellStart"/>
            <w:r w:rsidRPr="007A548E">
              <w:t>Energage</w:t>
            </w:r>
            <w:proofErr w:type="spellEnd"/>
            <w:r w:rsidRPr="007A548E">
              <w:t xml:space="preserve"> LLC.   </w:t>
            </w:r>
          </w:p>
        </w:tc>
      </w:tr>
      <w:tr w:rsidR="002D05BD" w:rsidRPr="007A548E" w14:paraId="254B07CD" w14:textId="77777777">
        <w:trPr>
          <w:trHeight w:val="1220"/>
        </w:trPr>
        <w:tc>
          <w:tcPr>
            <w:tcW w:w="4262" w:type="dxa"/>
            <w:tcBorders>
              <w:top w:val="single" w:sz="6" w:space="0" w:color="000000"/>
              <w:left w:val="single" w:sz="6" w:space="0" w:color="000000"/>
              <w:bottom w:val="single" w:sz="6" w:space="0" w:color="000000"/>
              <w:right w:val="single" w:sz="6" w:space="0" w:color="000000"/>
            </w:tcBorders>
            <w:vAlign w:val="center"/>
          </w:tcPr>
          <w:p w14:paraId="1822EC3E" w14:textId="77777777" w:rsidR="002D05BD" w:rsidRPr="007A548E" w:rsidRDefault="007049B4">
            <w:pPr>
              <w:spacing w:after="0" w:line="259" w:lineRule="auto"/>
              <w:ind w:left="8" w:firstLine="0"/>
            </w:pPr>
            <w:r w:rsidRPr="007A548E">
              <w:t xml:space="preserve">Address:  </w:t>
            </w:r>
          </w:p>
          <w:p w14:paraId="0ECDB282" w14:textId="77777777" w:rsidR="002D05BD" w:rsidRPr="007A548E" w:rsidRDefault="007049B4">
            <w:pPr>
              <w:spacing w:after="0" w:line="259" w:lineRule="auto"/>
              <w:ind w:left="8" w:firstLine="0"/>
            </w:pPr>
            <w:r w:rsidRPr="007A548E">
              <w:t xml:space="preserve">Customer address as identified on </w:t>
            </w:r>
          </w:p>
          <w:p w14:paraId="0445F09C" w14:textId="77777777" w:rsidR="002D05BD" w:rsidRPr="007A548E" w:rsidRDefault="007049B4">
            <w:pPr>
              <w:spacing w:after="0" w:line="259" w:lineRule="auto"/>
              <w:ind w:left="8" w:firstLine="0"/>
            </w:pPr>
            <w:r w:rsidRPr="007A548E">
              <w:t xml:space="preserve">Agreement/ order form  </w:t>
            </w:r>
          </w:p>
        </w:tc>
        <w:tc>
          <w:tcPr>
            <w:tcW w:w="5647" w:type="dxa"/>
            <w:tcBorders>
              <w:top w:val="single" w:sz="6" w:space="0" w:color="000000"/>
              <w:left w:val="single" w:sz="6" w:space="0" w:color="000000"/>
              <w:bottom w:val="single" w:sz="6" w:space="0" w:color="000000"/>
              <w:right w:val="single" w:sz="6" w:space="0" w:color="000000"/>
            </w:tcBorders>
          </w:tcPr>
          <w:p w14:paraId="0A2C39D0" w14:textId="77777777" w:rsidR="002D05BD" w:rsidRPr="007A548E" w:rsidRDefault="007049B4">
            <w:pPr>
              <w:spacing w:after="0" w:line="259" w:lineRule="auto"/>
              <w:ind w:left="8" w:firstLine="0"/>
            </w:pPr>
            <w:r w:rsidRPr="007A548E">
              <w:t xml:space="preserve">Address:  </w:t>
            </w:r>
          </w:p>
          <w:p w14:paraId="5DB28952" w14:textId="77777777" w:rsidR="002D05BD" w:rsidRPr="007A548E" w:rsidRDefault="007049B4">
            <w:pPr>
              <w:spacing w:after="0" w:line="259" w:lineRule="auto"/>
              <w:ind w:left="8" w:firstLine="0"/>
            </w:pPr>
            <w:r w:rsidRPr="007A548E">
              <w:t xml:space="preserve">397 </w:t>
            </w:r>
            <w:proofErr w:type="spellStart"/>
            <w:r w:rsidRPr="007A548E">
              <w:t>Eagleview</w:t>
            </w:r>
            <w:proofErr w:type="spellEnd"/>
            <w:r w:rsidRPr="007A548E">
              <w:t xml:space="preserve"> Blvd #200, Exton PA 19341  </w:t>
            </w:r>
          </w:p>
        </w:tc>
      </w:tr>
      <w:tr w:rsidR="002D05BD" w:rsidRPr="007A548E" w14:paraId="19DDB15E" w14:textId="77777777">
        <w:trPr>
          <w:trHeight w:val="1500"/>
        </w:trPr>
        <w:tc>
          <w:tcPr>
            <w:tcW w:w="4262" w:type="dxa"/>
            <w:tcBorders>
              <w:top w:val="single" w:sz="6" w:space="0" w:color="000000"/>
              <w:left w:val="single" w:sz="6" w:space="0" w:color="000000"/>
              <w:bottom w:val="single" w:sz="6" w:space="0" w:color="000000"/>
              <w:right w:val="single" w:sz="6" w:space="0" w:color="000000"/>
            </w:tcBorders>
            <w:vAlign w:val="center"/>
          </w:tcPr>
          <w:p w14:paraId="4A77045C" w14:textId="77777777" w:rsidR="002D05BD" w:rsidRPr="007A548E" w:rsidRDefault="007049B4">
            <w:pPr>
              <w:spacing w:after="5" w:line="237" w:lineRule="auto"/>
              <w:ind w:left="8" w:firstLine="0"/>
            </w:pPr>
            <w:r w:rsidRPr="007A548E">
              <w:t xml:space="preserve">Contact person’s name, position, and </w:t>
            </w:r>
            <w:r w:rsidRPr="007A548E">
              <w:t xml:space="preserve">contact details:  </w:t>
            </w:r>
          </w:p>
          <w:p w14:paraId="52EF22CD" w14:textId="77777777" w:rsidR="002D05BD" w:rsidRPr="007A548E" w:rsidRDefault="007049B4">
            <w:pPr>
              <w:spacing w:after="0" w:line="259" w:lineRule="auto"/>
              <w:ind w:left="8" w:firstLine="0"/>
              <w:jc w:val="both"/>
            </w:pPr>
            <w:r w:rsidRPr="007A548E">
              <w:t xml:space="preserve">Signatory as identified on Agreement/ order form  </w:t>
            </w:r>
          </w:p>
        </w:tc>
        <w:tc>
          <w:tcPr>
            <w:tcW w:w="5647" w:type="dxa"/>
            <w:tcBorders>
              <w:top w:val="single" w:sz="6" w:space="0" w:color="000000"/>
              <w:left w:val="single" w:sz="6" w:space="0" w:color="000000"/>
              <w:bottom w:val="single" w:sz="6" w:space="0" w:color="000000"/>
              <w:right w:val="single" w:sz="6" w:space="0" w:color="000000"/>
            </w:tcBorders>
            <w:vAlign w:val="center"/>
          </w:tcPr>
          <w:p w14:paraId="3B16E319" w14:textId="77777777" w:rsidR="002D05BD" w:rsidRPr="007A548E" w:rsidRDefault="007049B4">
            <w:pPr>
              <w:spacing w:after="0" w:line="259" w:lineRule="auto"/>
              <w:ind w:left="8" w:firstLine="0"/>
            </w:pPr>
            <w:r w:rsidRPr="007A548E">
              <w:t xml:space="preserve">Contact person's name, position, and contact details:  </w:t>
            </w:r>
          </w:p>
          <w:p w14:paraId="7812FAA3" w14:textId="77777777" w:rsidR="002D05BD" w:rsidRPr="007A548E" w:rsidRDefault="007049B4">
            <w:pPr>
              <w:spacing w:after="0" w:line="259" w:lineRule="auto"/>
              <w:ind w:left="8" w:firstLine="0"/>
            </w:pPr>
            <w:r w:rsidRPr="007A548E">
              <w:t xml:space="preserve">Acting Chief Information Security Officer </w:t>
            </w:r>
          </w:p>
          <w:p w14:paraId="0B264723" w14:textId="77777777" w:rsidR="002D05BD" w:rsidRPr="007A548E" w:rsidRDefault="007049B4">
            <w:pPr>
              <w:spacing w:after="0" w:line="259" w:lineRule="auto"/>
              <w:ind w:left="8" w:firstLine="0"/>
            </w:pPr>
            <w:r w:rsidRPr="007A548E">
              <w:t xml:space="preserve">397 </w:t>
            </w:r>
            <w:proofErr w:type="spellStart"/>
            <w:r w:rsidRPr="007A548E">
              <w:t>Eagleview</w:t>
            </w:r>
            <w:proofErr w:type="spellEnd"/>
            <w:r w:rsidRPr="007A548E">
              <w:t xml:space="preserve"> Blvd #200  </w:t>
            </w:r>
          </w:p>
          <w:p w14:paraId="5683D05F" w14:textId="77777777" w:rsidR="002D05BD" w:rsidRPr="007A548E" w:rsidRDefault="007049B4">
            <w:pPr>
              <w:spacing w:after="0" w:line="259" w:lineRule="auto"/>
              <w:ind w:left="8" w:firstLine="0"/>
            </w:pPr>
            <w:r w:rsidRPr="007A548E">
              <w:t xml:space="preserve">Exton PA 19341  </w:t>
            </w:r>
          </w:p>
        </w:tc>
      </w:tr>
      <w:tr w:rsidR="002D05BD" w:rsidRPr="007A548E" w14:paraId="760F1EAC" w14:textId="77777777">
        <w:trPr>
          <w:trHeight w:val="2146"/>
        </w:trPr>
        <w:tc>
          <w:tcPr>
            <w:tcW w:w="4262" w:type="dxa"/>
            <w:tcBorders>
              <w:top w:val="single" w:sz="6" w:space="0" w:color="000000"/>
              <w:left w:val="single" w:sz="6" w:space="0" w:color="000000"/>
              <w:bottom w:val="single" w:sz="6" w:space="0" w:color="000000"/>
              <w:right w:val="single" w:sz="6" w:space="0" w:color="000000"/>
            </w:tcBorders>
            <w:vAlign w:val="center"/>
          </w:tcPr>
          <w:p w14:paraId="68EA295B" w14:textId="77777777" w:rsidR="002D05BD" w:rsidRPr="007A548E" w:rsidRDefault="007049B4">
            <w:pPr>
              <w:spacing w:after="165" w:line="246" w:lineRule="auto"/>
              <w:ind w:left="8" w:firstLine="0"/>
            </w:pPr>
            <w:r w:rsidRPr="007A548E">
              <w:t xml:space="preserve">Activities relevant to the data transferred under these Clauses:  </w:t>
            </w:r>
          </w:p>
          <w:p w14:paraId="7A416976" w14:textId="77777777" w:rsidR="002D05BD" w:rsidRPr="007A548E" w:rsidRDefault="007049B4">
            <w:pPr>
              <w:spacing w:after="0" w:line="259" w:lineRule="auto"/>
              <w:ind w:left="8" w:firstLine="0"/>
            </w:pPr>
            <w:r w:rsidRPr="007A548E">
              <w:t xml:space="preserve">Activities necessary to provide the </w:t>
            </w:r>
          </w:p>
          <w:p w14:paraId="3A77D92A" w14:textId="77777777" w:rsidR="002D05BD" w:rsidRPr="007A548E" w:rsidRDefault="007049B4">
            <w:pPr>
              <w:spacing w:after="154" w:line="259" w:lineRule="auto"/>
              <w:ind w:left="8" w:firstLine="0"/>
            </w:pPr>
            <w:r w:rsidRPr="007A548E">
              <w:t>Services described in the Agreement. </w:t>
            </w:r>
            <w:r w:rsidRPr="007A548E">
              <w:t xml:space="preserve">  </w:t>
            </w:r>
          </w:p>
          <w:p w14:paraId="22D2FF7E" w14:textId="77777777" w:rsidR="002D05BD" w:rsidRPr="007A548E" w:rsidRDefault="007049B4">
            <w:pPr>
              <w:spacing w:after="0" w:line="259" w:lineRule="auto"/>
              <w:ind w:left="8" w:firstLine="0"/>
            </w:pPr>
            <w:r w:rsidRPr="007A548E">
              <w:t xml:space="preserve">  </w:t>
            </w:r>
          </w:p>
        </w:tc>
        <w:tc>
          <w:tcPr>
            <w:tcW w:w="5647" w:type="dxa"/>
            <w:tcBorders>
              <w:top w:val="single" w:sz="6" w:space="0" w:color="000000"/>
              <w:left w:val="single" w:sz="6" w:space="0" w:color="000000"/>
              <w:bottom w:val="single" w:sz="6" w:space="0" w:color="000000"/>
              <w:right w:val="single" w:sz="6" w:space="0" w:color="000000"/>
            </w:tcBorders>
          </w:tcPr>
          <w:p w14:paraId="13A05972" w14:textId="77777777" w:rsidR="002D05BD" w:rsidRPr="007A548E" w:rsidRDefault="007049B4">
            <w:pPr>
              <w:spacing w:after="165" w:line="246" w:lineRule="auto"/>
              <w:ind w:left="8" w:hanging="28"/>
            </w:pPr>
            <w:r w:rsidRPr="007A548E">
              <w:t xml:space="preserve"> Activities relevant to the data transferred under these Clauses:  </w:t>
            </w:r>
          </w:p>
          <w:p w14:paraId="099427A2" w14:textId="77777777" w:rsidR="002D05BD" w:rsidRPr="007A548E" w:rsidRDefault="007049B4">
            <w:pPr>
              <w:spacing w:after="0" w:line="259" w:lineRule="auto"/>
              <w:ind w:left="8" w:firstLine="0"/>
            </w:pPr>
            <w:r w:rsidRPr="007A548E">
              <w:t xml:space="preserve"> </w:t>
            </w:r>
          </w:p>
          <w:p w14:paraId="13C134B1" w14:textId="77777777" w:rsidR="002D05BD" w:rsidRPr="007A548E" w:rsidRDefault="007049B4">
            <w:pPr>
              <w:spacing w:after="0" w:line="259" w:lineRule="auto"/>
              <w:ind w:left="8" w:firstLine="0"/>
            </w:pPr>
            <w:r w:rsidRPr="007A548E">
              <w:t xml:space="preserve">Activities necessary to provide the Services described in the Agreement.  </w:t>
            </w:r>
          </w:p>
        </w:tc>
      </w:tr>
      <w:tr w:rsidR="002D05BD" w:rsidRPr="007A548E" w14:paraId="7A5ACAA8" w14:textId="77777777">
        <w:trPr>
          <w:trHeight w:val="935"/>
        </w:trPr>
        <w:tc>
          <w:tcPr>
            <w:tcW w:w="4262" w:type="dxa"/>
            <w:tcBorders>
              <w:top w:val="single" w:sz="6" w:space="0" w:color="000000"/>
              <w:left w:val="single" w:sz="6" w:space="0" w:color="000000"/>
              <w:bottom w:val="single" w:sz="6" w:space="0" w:color="000000"/>
              <w:right w:val="single" w:sz="6" w:space="0" w:color="000000"/>
            </w:tcBorders>
            <w:vAlign w:val="center"/>
          </w:tcPr>
          <w:p w14:paraId="3D18AB6A" w14:textId="77777777" w:rsidR="002D05BD" w:rsidRPr="007A548E" w:rsidRDefault="007049B4">
            <w:pPr>
              <w:spacing w:after="0" w:line="259" w:lineRule="auto"/>
              <w:ind w:left="8" w:firstLine="0"/>
            </w:pPr>
            <w:r w:rsidRPr="007A548E">
              <w:t xml:space="preserve">Signature and date: Incorporated by Reference  </w:t>
            </w:r>
          </w:p>
        </w:tc>
        <w:tc>
          <w:tcPr>
            <w:tcW w:w="5647" w:type="dxa"/>
            <w:tcBorders>
              <w:top w:val="single" w:sz="6" w:space="0" w:color="000000"/>
              <w:left w:val="single" w:sz="6" w:space="0" w:color="000000"/>
              <w:bottom w:val="single" w:sz="6" w:space="0" w:color="000000"/>
              <w:right w:val="single" w:sz="6" w:space="0" w:color="000000"/>
            </w:tcBorders>
          </w:tcPr>
          <w:p w14:paraId="7674CFF4" w14:textId="77777777" w:rsidR="002D05BD" w:rsidRPr="007A548E" w:rsidRDefault="007049B4">
            <w:pPr>
              <w:spacing w:after="0" w:line="259" w:lineRule="auto"/>
              <w:ind w:left="8" w:firstLine="0"/>
            </w:pPr>
            <w:r w:rsidRPr="007A548E">
              <w:t xml:space="preserve">Signature and date: Incorporated by Reference  </w:t>
            </w:r>
          </w:p>
        </w:tc>
      </w:tr>
      <w:tr w:rsidR="002D05BD" w:rsidRPr="007A548E" w14:paraId="36AC04EC" w14:textId="77777777">
        <w:trPr>
          <w:trHeight w:val="661"/>
        </w:trPr>
        <w:tc>
          <w:tcPr>
            <w:tcW w:w="4262" w:type="dxa"/>
            <w:tcBorders>
              <w:top w:val="single" w:sz="6" w:space="0" w:color="000000"/>
              <w:left w:val="single" w:sz="6" w:space="0" w:color="000000"/>
              <w:bottom w:val="single" w:sz="6" w:space="0" w:color="000000"/>
              <w:right w:val="single" w:sz="6" w:space="0" w:color="000000"/>
            </w:tcBorders>
            <w:vAlign w:val="center"/>
          </w:tcPr>
          <w:p w14:paraId="081D9B87" w14:textId="77777777" w:rsidR="002D05BD" w:rsidRPr="007A548E" w:rsidRDefault="007049B4">
            <w:pPr>
              <w:spacing w:after="0" w:line="259" w:lineRule="auto"/>
              <w:ind w:left="8" w:firstLine="0"/>
            </w:pPr>
            <w:r w:rsidRPr="007A548E">
              <w:t xml:space="preserve">Role: Controller  </w:t>
            </w:r>
          </w:p>
        </w:tc>
        <w:tc>
          <w:tcPr>
            <w:tcW w:w="5647" w:type="dxa"/>
            <w:tcBorders>
              <w:top w:val="single" w:sz="6" w:space="0" w:color="000000"/>
              <w:left w:val="single" w:sz="6" w:space="0" w:color="000000"/>
              <w:bottom w:val="single" w:sz="6" w:space="0" w:color="000000"/>
              <w:right w:val="single" w:sz="6" w:space="0" w:color="000000"/>
            </w:tcBorders>
            <w:vAlign w:val="center"/>
          </w:tcPr>
          <w:p w14:paraId="72E42D55" w14:textId="77777777" w:rsidR="002D05BD" w:rsidRPr="007A548E" w:rsidRDefault="007049B4">
            <w:pPr>
              <w:spacing w:after="0" w:line="259" w:lineRule="auto"/>
              <w:ind w:left="8" w:firstLine="0"/>
            </w:pPr>
            <w:r w:rsidRPr="007A548E">
              <w:t xml:space="preserve">Role: Processor  </w:t>
            </w:r>
          </w:p>
        </w:tc>
      </w:tr>
    </w:tbl>
    <w:p w14:paraId="0045B312" w14:textId="77777777" w:rsidR="002D05BD" w:rsidRPr="007A548E" w:rsidRDefault="007049B4">
      <w:pPr>
        <w:spacing w:after="154" w:line="259" w:lineRule="auto"/>
        <w:ind w:left="120" w:firstLine="0"/>
      </w:pPr>
      <w:r w:rsidRPr="007A548E">
        <w:t xml:space="preserve"> </w:t>
      </w:r>
    </w:p>
    <w:p w14:paraId="0CF36B25" w14:textId="77777777" w:rsidR="002D05BD" w:rsidRPr="007A548E" w:rsidRDefault="007049B4">
      <w:pPr>
        <w:numPr>
          <w:ilvl w:val="0"/>
          <w:numId w:val="13"/>
        </w:numPr>
        <w:spacing w:after="161" w:line="250" w:lineRule="auto"/>
        <w:ind w:right="1" w:hanging="416"/>
      </w:pPr>
      <w:r w:rsidRPr="007A548E">
        <w:rPr>
          <w:b/>
        </w:rPr>
        <w:t xml:space="preserve">Description of Transfer  </w:t>
      </w:r>
    </w:p>
    <w:p w14:paraId="7162275B" w14:textId="77777777" w:rsidR="002D05BD" w:rsidRPr="007A548E" w:rsidRDefault="007049B4" w:rsidP="004D6C46">
      <w:pPr>
        <w:spacing w:after="161" w:line="250" w:lineRule="auto"/>
        <w:ind w:right="1"/>
      </w:pPr>
      <w:proofErr w:type="spellStart"/>
      <w:r w:rsidRPr="007A548E">
        <w:lastRenderedPageBreak/>
        <w:t>i</w:t>
      </w:r>
      <w:proofErr w:type="spellEnd"/>
      <w:r w:rsidRPr="007A548E">
        <w:t>.</w:t>
      </w:r>
      <w:r w:rsidRPr="007A548E">
        <w:rPr>
          <w:rFonts w:ascii="Arial" w:eastAsia="Arial" w:hAnsi="Arial" w:cs="Arial"/>
        </w:rPr>
        <w:t xml:space="preserve"> </w:t>
      </w:r>
      <w:r w:rsidRPr="007A548E">
        <w:rPr>
          <w:b/>
        </w:rPr>
        <w:t>Categories of Data Subjects:</w:t>
      </w:r>
      <w:r w:rsidRPr="007A548E">
        <w:t xml:space="preserve">  </w:t>
      </w:r>
    </w:p>
    <w:p w14:paraId="5D8CD020" w14:textId="77777777" w:rsidR="002D05BD" w:rsidRPr="007A548E" w:rsidRDefault="007049B4">
      <w:pPr>
        <w:spacing w:after="178"/>
        <w:ind w:right="6"/>
      </w:pPr>
      <w:r w:rsidRPr="007A548E">
        <w:t xml:space="preserve">Data exporter may submit Personal Data to </w:t>
      </w:r>
      <w:proofErr w:type="spellStart"/>
      <w:r w:rsidRPr="007A548E">
        <w:t>Energage</w:t>
      </w:r>
      <w:proofErr w:type="spellEnd"/>
      <w:r w:rsidRPr="007A548E">
        <w:t xml:space="preserve">, the extent of which is determined and controlled by the data exporter in its sole discretion, and which may include, but is not limited to Personal Data relating to the following categories of data subjects:   </w:t>
      </w:r>
    </w:p>
    <w:p w14:paraId="7E1932EA" w14:textId="77777777" w:rsidR="002D05BD" w:rsidRPr="007A548E" w:rsidRDefault="007049B4">
      <w:pPr>
        <w:numPr>
          <w:ilvl w:val="0"/>
          <w:numId w:val="14"/>
        </w:numPr>
        <w:spacing w:after="141"/>
        <w:ind w:right="6" w:hanging="360"/>
      </w:pPr>
      <w:r w:rsidRPr="007A548E">
        <w:t xml:space="preserve">Prospective and current employees of </w:t>
      </w:r>
      <w:proofErr w:type="gramStart"/>
      <w:r w:rsidRPr="007A548E">
        <w:t>Customer;</w:t>
      </w:r>
      <w:proofErr w:type="gramEnd"/>
      <w:r w:rsidRPr="007A548E">
        <w:t xml:space="preserve">  </w:t>
      </w:r>
    </w:p>
    <w:p w14:paraId="27C32C4D" w14:textId="77777777" w:rsidR="002D05BD" w:rsidRPr="007A548E" w:rsidRDefault="007049B4">
      <w:pPr>
        <w:numPr>
          <w:ilvl w:val="0"/>
          <w:numId w:val="14"/>
        </w:numPr>
        <w:spacing w:after="179"/>
        <w:ind w:right="6" w:hanging="360"/>
      </w:pPr>
      <w:r w:rsidRPr="007A548E">
        <w:t xml:space="preserve">Third parties that have, or may have, a commercial relationship with Customer (e.g. advertisers, customers, corporate subscribers and contractors).  </w:t>
      </w:r>
    </w:p>
    <w:p w14:paraId="441DFB21" w14:textId="77777777" w:rsidR="004D6C46" w:rsidRPr="007A548E" w:rsidRDefault="007049B4">
      <w:pPr>
        <w:numPr>
          <w:ilvl w:val="0"/>
          <w:numId w:val="14"/>
        </w:numPr>
        <w:spacing w:after="0" w:line="394" w:lineRule="auto"/>
        <w:ind w:right="6" w:hanging="360"/>
      </w:pPr>
      <w:r w:rsidRPr="007A548E">
        <w:t xml:space="preserve">Participants in surveys run on behalf of Customer by </w:t>
      </w:r>
      <w:proofErr w:type="spellStart"/>
      <w:proofErr w:type="gramStart"/>
      <w:r w:rsidRPr="007A548E">
        <w:t>Energage</w:t>
      </w:r>
      <w:proofErr w:type="spellEnd"/>
      <w:r w:rsidRPr="007A548E">
        <w:t>;</w:t>
      </w:r>
      <w:proofErr w:type="gramEnd"/>
      <w:r w:rsidRPr="007A548E">
        <w:t xml:space="preserve"> </w:t>
      </w:r>
    </w:p>
    <w:p w14:paraId="05875207" w14:textId="1643DA64" w:rsidR="002D05BD" w:rsidRPr="007A548E" w:rsidRDefault="007049B4" w:rsidP="004D6C46">
      <w:pPr>
        <w:spacing w:after="0" w:line="394" w:lineRule="auto"/>
        <w:ind w:right="6"/>
      </w:pPr>
      <w:r w:rsidRPr="007A548E">
        <w:t xml:space="preserve"> </w:t>
      </w:r>
      <w:r w:rsidRPr="007A548E">
        <w:rPr>
          <w:b/>
        </w:rPr>
        <w:t>ii.</w:t>
      </w:r>
      <w:r w:rsidRPr="007A548E">
        <w:rPr>
          <w:rFonts w:ascii="Arial" w:eastAsia="Arial" w:hAnsi="Arial" w:cs="Arial"/>
          <w:b/>
        </w:rPr>
        <w:t xml:space="preserve"> </w:t>
      </w:r>
      <w:r w:rsidRPr="007A548E">
        <w:rPr>
          <w:b/>
        </w:rPr>
        <w:t xml:space="preserve">Categories of Personal Data:  </w:t>
      </w:r>
    </w:p>
    <w:p w14:paraId="33629808" w14:textId="77777777" w:rsidR="002D05BD" w:rsidRPr="007A548E" w:rsidRDefault="007049B4">
      <w:pPr>
        <w:spacing w:after="181"/>
        <w:ind w:right="6"/>
      </w:pPr>
      <w:r w:rsidRPr="007A548E">
        <w:t xml:space="preserve">Data exporter may submit Personal Data to </w:t>
      </w:r>
      <w:proofErr w:type="spellStart"/>
      <w:r w:rsidRPr="007A548E">
        <w:t>Energage</w:t>
      </w:r>
      <w:proofErr w:type="spellEnd"/>
      <w:r w:rsidRPr="007A548E">
        <w:t xml:space="preserve">, the extent of which is determined and controlled by the data exporter in its sole discretion, and which may include, but is not limited to the following categories of Personal Data:   </w:t>
      </w:r>
    </w:p>
    <w:p w14:paraId="686F3B4D" w14:textId="77777777" w:rsidR="002D05BD" w:rsidRPr="007A548E" w:rsidRDefault="007049B4">
      <w:pPr>
        <w:numPr>
          <w:ilvl w:val="0"/>
          <w:numId w:val="14"/>
        </w:numPr>
        <w:spacing w:after="82"/>
        <w:ind w:right="6" w:hanging="360"/>
      </w:pPr>
      <w:r w:rsidRPr="007A548E">
        <w:t xml:space="preserve">name,   </w:t>
      </w:r>
    </w:p>
    <w:p w14:paraId="0E42F55B" w14:textId="77777777" w:rsidR="002D05BD" w:rsidRPr="007A548E" w:rsidRDefault="007049B4">
      <w:pPr>
        <w:numPr>
          <w:ilvl w:val="0"/>
          <w:numId w:val="14"/>
        </w:numPr>
        <w:spacing w:after="81"/>
        <w:ind w:right="6" w:hanging="360"/>
      </w:pPr>
      <w:r w:rsidRPr="007A548E">
        <w:t xml:space="preserve">email address,   </w:t>
      </w:r>
    </w:p>
    <w:p w14:paraId="39CB6B9E" w14:textId="77777777" w:rsidR="002D05BD" w:rsidRPr="007A548E" w:rsidRDefault="007049B4">
      <w:pPr>
        <w:numPr>
          <w:ilvl w:val="0"/>
          <w:numId w:val="14"/>
        </w:numPr>
        <w:spacing w:after="84"/>
        <w:ind w:right="6" w:hanging="360"/>
      </w:pPr>
      <w:r w:rsidRPr="007A548E">
        <w:t xml:space="preserve">company department information,   </w:t>
      </w:r>
    </w:p>
    <w:p w14:paraId="4BEC51C8" w14:textId="77777777" w:rsidR="002D05BD" w:rsidRPr="007A548E" w:rsidRDefault="007049B4">
      <w:pPr>
        <w:numPr>
          <w:ilvl w:val="0"/>
          <w:numId w:val="14"/>
        </w:numPr>
        <w:spacing w:after="81"/>
        <w:ind w:right="6" w:hanging="360"/>
      </w:pPr>
      <w:r w:rsidRPr="007A548E">
        <w:t xml:space="preserve">tenure,   </w:t>
      </w:r>
    </w:p>
    <w:p w14:paraId="440A4723" w14:textId="77777777" w:rsidR="002D05BD" w:rsidRPr="007A548E" w:rsidRDefault="007049B4">
      <w:pPr>
        <w:numPr>
          <w:ilvl w:val="0"/>
          <w:numId w:val="14"/>
        </w:numPr>
        <w:spacing w:after="82"/>
        <w:ind w:right="6" w:hanging="360"/>
      </w:pPr>
      <w:r w:rsidRPr="007A548E">
        <w:t xml:space="preserve">job grade (team member / manager / senior manager), </w:t>
      </w:r>
    </w:p>
    <w:p w14:paraId="5957EF9E" w14:textId="77777777" w:rsidR="002D05BD" w:rsidRPr="007A548E" w:rsidRDefault="007049B4">
      <w:pPr>
        <w:numPr>
          <w:ilvl w:val="0"/>
          <w:numId w:val="14"/>
        </w:numPr>
        <w:spacing w:after="78"/>
        <w:ind w:right="6" w:hanging="360"/>
      </w:pPr>
      <w:r w:rsidRPr="007A548E">
        <w:t xml:space="preserve">hours (part time / full time), </w:t>
      </w:r>
    </w:p>
    <w:p w14:paraId="1D905B70" w14:textId="77777777" w:rsidR="002D05BD" w:rsidRPr="007A548E" w:rsidRDefault="007049B4">
      <w:pPr>
        <w:numPr>
          <w:ilvl w:val="0"/>
          <w:numId w:val="14"/>
        </w:numPr>
        <w:spacing w:after="82"/>
        <w:ind w:right="6" w:hanging="360"/>
      </w:pPr>
      <w:r w:rsidRPr="007A548E">
        <w:t xml:space="preserve">salary band,   </w:t>
      </w:r>
    </w:p>
    <w:p w14:paraId="4610A5C3" w14:textId="77777777" w:rsidR="002D05BD" w:rsidRPr="007A548E" w:rsidRDefault="007049B4">
      <w:pPr>
        <w:numPr>
          <w:ilvl w:val="0"/>
          <w:numId w:val="14"/>
        </w:numPr>
        <w:spacing w:after="82"/>
        <w:ind w:right="6" w:hanging="360"/>
      </w:pPr>
      <w:r w:rsidRPr="007A548E">
        <w:t xml:space="preserve">demographic information,   </w:t>
      </w:r>
    </w:p>
    <w:p w14:paraId="07B40E06" w14:textId="77777777" w:rsidR="002D05BD" w:rsidRPr="007A548E" w:rsidRDefault="007049B4">
      <w:pPr>
        <w:numPr>
          <w:ilvl w:val="0"/>
          <w:numId w:val="14"/>
        </w:numPr>
        <w:spacing w:after="83"/>
        <w:ind w:right="6" w:hanging="360"/>
      </w:pPr>
      <w:r w:rsidRPr="007A548E">
        <w:t xml:space="preserve">region of customer location,   </w:t>
      </w:r>
    </w:p>
    <w:p w14:paraId="218AAA0A" w14:textId="77777777" w:rsidR="002D05BD" w:rsidRPr="007A548E" w:rsidRDefault="007049B4">
      <w:pPr>
        <w:numPr>
          <w:ilvl w:val="0"/>
          <w:numId w:val="14"/>
        </w:numPr>
        <w:spacing w:after="81"/>
        <w:ind w:right="6" w:hanging="360"/>
      </w:pPr>
      <w:r w:rsidRPr="007A548E">
        <w:t xml:space="preserve">IP address,  </w:t>
      </w:r>
    </w:p>
    <w:p w14:paraId="5FA9FB67" w14:textId="77777777" w:rsidR="002D05BD" w:rsidRPr="007A548E" w:rsidRDefault="007049B4">
      <w:pPr>
        <w:numPr>
          <w:ilvl w:val="0"/>
          <w:numId w:val="14"/>
        </w:numPr>
        <w:spacing w:after="168"/>
        <w:ind w:right="6" w:hanging="360"/>
      </w:pPr>
      <w:r w:rsidRPr="007A548E">
        <w:t xml:space="preserve">any other survey data and personal data contained in notes provided by the data exporter regarding the foregoing.  </w:t>
      </w:r>
    </w:p>
    <w:p w14:paraId="171E79FC" w14:textId="77777777" w:rsidR="002D05BD" w:rsidRPr="007A548E" w:rsidRDefault="007049B4">
      <w:pPr>
        <w:numPr>
          <w:ilvl w:val="0"/>
          <w:numId w:val="15"/>
        </w:numPr>
        <w:spacing w:after="161" w:line="250" w:lineRule="auto"/>
        <w:ind w:right="1" w:hanging="481"/>
      </w:pPr>
      <w:r w:rsidRPr="007A548E">
        <w:rPr>
          <w:b/>
        </w:rPr>
        <w:t xml:space="preserve">Special Categories of Personal Data: </w:t>
      </w:r>
    </w:p>
    <w:p w14:paraId="073A6AAD" w14:textId="77777777" w:rsidR="002D05BD" w:rsidRPr="007A548E" w:rsidRDefault="007049B4">
      <w:pPr>
        <w:spacing w:after="179"/>
        <w:ind w:right="6"/>
      </w:pPr>
      <w:r w:rsidRPr="007A548E">
        <w:t xml:space="preserve">Data </w:t>
      </w:r>
      <w:proofErr w:type="gramStart"/>
      <w:r w:rsidRPr="007A548E">
        <w:t>exporter</w:t>
      </w:r>
      <w:proofErr w:type="gramEnd"/>
      <w:r w:rsidRPr="007A548E">
        <w:t xml:space="preserve"> may submit Special Categories of Personal Data to </w:t>
      </w:r>
      <w:proofErr w:type="spellStart"/>
      <w:r w:rsidRPr="007A548E">
        <w:t>Energage</w:t>
      </w:r>
      <w:proofErr w:type="spellEnd"/>
      <w:r w:rsidRPr="007A548E">
        <w:t xml:space="preserve">, the extent of which is determined and controlled by the data exporter in its sole discretion, and which may include, but is not limited to the following categories of Personal Data:   </w:t>
      </w:r>
    </w:p>
    <w:p w14:paraId="671B362D" w14:textId="77777777" w:rsidR="002D05BD" w:rsidRPr="007A548E" w:rsidRDefault="007049B4">
      <w:pPr>
        <w:numPr>
          <w:ilvl w:val="1"/>
          <w:numId w:val="15"/>
        </w:numPr>
        <w:spacing w:after="84"/>
        <w:ind w:right="6" w:hanging="360"/>
      </w:pPr>
      <w:r w:rsidRPr="007A548E">
        <w:t xml:space="preserve">sexual orientation,   </w:t>
      </w:r>
    </w:p>
    <w:p w14:paraId="19FA598E" w14:textId="77777777" w:rsidR="002D05BD" w:rsidRPr="007A548E" w:rsidRDefault="007049B4">
      <w:pPr>
        <w:numPr>
          <w:ilvl w:val="1"/>
          <w:numId w:val="15"/>
        </w:numPr>
        <w:spacing w:after="83"/>
        <w:ind w:right="6" w:hanging="360"/>
      </w:pPr>
      <w:r w:rsidRPr="007A548E">
        <w:t xml:space="preserve">racial,   </w:t>
      </w:r>
    </w:p>
    <w:p w14:paraId="344A6412" w14:textId="77777777" w:rsidR="002D05BD" w:rsidRPr="007A548E" w:rsidRDefault="007049B4">
      <w:pPr>
        <w:numPr>
          <w:ilvl w:val="1"/>
          <w:numId w:val="15"/>
        </w:numPr>
        <w:spacing w:after="86"/>
        <w:ind w:right="6" w:hanging="360"/>
      </w:pPr>
      <w:r w:rsidRPr="007A548E">
        <w:t xml:space="preserve">ethnic origin,  </w:t>
      </w:r>
    </w:p>
    <w:p w14:paraId="24EDC4F5" w14:textId="77777777" w:rsidR="002D05BD" w:rsidRPr="007A548E" w:rsidRDefault="007049B4">
      <w:pPr>
        <w:numPr>
          <w:ilvl w:val="1"/>
          <w:numId w:val="15"/>
        </w:numPr>
        <w:spacing w:after="84"/>
        <w:ind w:right="6" w:hanging="360"/>
      </w:pPr>
      <w:r w:rsidRPr="007A548E">
        <w:t xml:space="preserve">age, </w:t>
      </w:r>
    </w:p>
    <w:p w14:paraId="50A9AA3E" w14:textId="77777777" w:rsidR="002D05BD" w:rsidRPr="007A548E" w:rsidRDefault="007049B4">
      <w:pPr>
        <w:numPr>
          <w:ilvl w:val="1"/>
          <w:numId w:val="15"/>
        </w:numPr>
        <w:ind w:right="6" w:hanging="360"/>
      </w:pPr>
      <w:r w:rsidRPr="007A548E">
        <w:t xml:space="preserve">gender </w:t>
      </w:r>
    </w:p>
    <w:p w14:paraId="17F4F20E" w14:textId="77777777" w:rsidR="002D05BD" w:rsidRPr="007A548E" w:rsidRDefault="007049B4">
      <w:pPr>
        <w:numPr>
          <w:ilvl w:val="0"/>
          <w:numId w:val="15"/>
        </w:numPr>
        <w:spacing w:after="161" w:line="250" w:lineRule="auto"/>
        <w:ind w:right="1" w:hanging="481"/>
      </w:pPr>
      <w:r w:rsidRPr="007A548E">
        <w:rPr>
          <w:b/>
        </w:rPr>
        <w:t xml:space="preserve">Nature of the Processing:   </w:t>
      </w:r>
    </w:p>
    <w:p w14:paraId="2AF6BB49" w14:textId="77777777" w:rsidR="002D05BD" w:rsidRPr="007A548E" w:rsidRDefault="007049B4">
      <w:pPr>
        <w:spacing w:after="165"/>
        <w:ind w:right="6"/>
      </w:pPr>
      <w:r w:rsidRPr="007A548E">
        <w:lastRenderedPageBreak/>
        <w:t xml:space="preserve">The personal data transferred will be subject to the following basic processing activities:  </w:t>
      </w:r>
    </w:p>
    <w:p w14:paraId="567B9BD6" w14:textId="77777777" w:rsidR="002D05BD" w:rsidRPr="007A548E" w:rsidRDefault="007049B4">
      <w:pPr>
        <w:spacing w:after="174"/>
        <w:ind w:right="6"/>
      </w:pPr>
      <w:r w:rsidRPr="007A548E">
        <w:t xml:space="preserve">Data importer is a hosted cloud SaaS solution (as further described in the General Terms) that processes and stores Customer Personal Data on behalf of the data exporter, permitting </w:t>
      </w:r>
      <w:proofErr w:type="spellStart"/>
      <w:r w:rsidRPr="007A548E">
        <w:t>Energage</w:t>
      </w:r>
      <w:proofErr w:type="spellEnd"/>
      <w:r w:rsidRPr="007A548E">
        <w:t xml:space="preserve"> the use of personal information it collects to communicate with you and to carry out Services for our customers.   </w:t>
      </w:r>
    </w:p>
    <w:p w14:paraId="5F16430C" w14:textId="77777777" w:rsidR="002D05BD" w:rsidRPr="007A548E" w:rsidRDefault="007049B4">
      <w:pPr>
        <w:numPr>
          <w:ilvl w:val="0"/>
          <w:numId w:val="15"/>
        </w:numPr>
        <w:spacing w:after="161" w:line="250" w:lineRule="auto"/>
        <w:ind w:right="1" w:hanging="481"/>
      </w:pPr>
      <w:r w:rsidRPr="007A548E">
        <w:rPr>
          <w:b/>
        </w:rPr>
        <w:t xml:space="preserve">Purpose(s) of the Data Transfer and Further Processing:  </w:t>
      </w:r>
    </w:p>
    <w:p w14:paraId="7417092F" w14:textId="77777777" w:rsidR="002D05BD" w:rsidRPr="007A548E" w:rsidRDefault="007049B4">
      <w:pPr>
        <w:spacing w:after="173"/>
        <w:ind w:right="6"/>
      </w:pPr>
      <w:r w:rsidRPr="007A548E">
        <w:t xml:space="preserve">The purpose of the transfer and further processing is to provide the </w:t>
      </w:r>
      <w:proofErr w:type="spellStart"/>
      <w:r w:rsidRPr="007A548E">
        <w:t>Energage</w:t>
      </w:r>
      <w:proofErr w:type="spellEnd"/>
      <w:r w:rsidRPr="007A548E">
        <w:t xml:space="preserve"> Service pursuant to the Agreement, in accordance with the DPA, and as instructed by data exporter </w:t>
      </w:r>
      <w:r w:rsidRPr="007A548E">
        <w:t xml:space="preserve">or data exporter’s user(s) in their use of the </w:t>
      </w:r>
      <w:proofErr w:type="spellStart"/>
      <w:r w:rsidRPr="007A548E">
        <w:t>Energage</w:t>
      </w:r>
      <w:proofErr w:type="spellEnd"/>
      <w:r w:rsidRPr="007A548E">
        <w:t xml:space="preserve"> Service.</w:t>
      </w:r>
      <w:r w:rsidRPr="007A548E">
        <w:t xml:space="preserve">   </w:t>
      </w:r>
    </w:p>
    <w:p w14:paraId="32C84A82" w14:textId="77777777" w:rsidR="002D05BD" w:rsidRPr="007A548E" w:rsidRDefault="007049B4">
      <w:pPr>
        <w:numPr>
          <w:ilvl w:val="0"/>
          <w:numId w:val="15"/>
        </w:numPr>
        <w:spacing w:after="161" w:line="250" w:lineRule="auto"/>
        <w:ind w:right="1" w:hanging="481"/>
      </w:pPr>
      <w:r w:rsidRPr="007A548E">
        <w:rPr>
          <w:b/>
        </w:rPr>
        <w:t xml:space="preserve">Period for Which Personal Data Will be Retained  </w:t>
      </w:r>
    </w:p>
    <w:p w14:paraId="48DF2F93" w14:textId="77777777" w:rsidR="002D05BD" w:rsidRPr="007A548E" w:rsidRDefault="007049B4">
      <w:pPr>
        <w:spacing w:after="168"/>
        <w:ind w:right="6"/>
      </w:pPr>
      <w:r w:rsidRPr="007A548E">
        <w:t xml:space="preserve">Data </w:t>
      </w:r>
      <w:proofErr w:type="gramStart"/>
      <w:r w:rsidRPr="007A548E">
        <w:t>importer</w:t>
      </w:r>
      <w:proofErr w:type="gramEnd"/>
      <w:r w:rsidRPr="007A548E">
        <w:t xml:space="preserve"> will retain Customer Personal Data as stipulated in the Agreement and DPA and agreed by the Parties.   </w:t>
      </w:r>
    </w:p>
    <w:p w14:paraId="3530E5C8" w14:textId="77777777" w:rsidR="002D05BD" w:rsidRPr="007A548E" w:rsidRDefault="007049B4">
      <w:pPr>
        <w:numPr>
          <w:ilvl w:val="0"/>
          <w:numId w:val="15"/>
        </w:numPr>
        <w:spacing w:after="161" w:line="250" w:lineRule="auto"/>
        <w:ind w:right="1" w:hanging="481"/>
      </w:pPr>
      <w:r w:rsidRPr="007A548E">
        <w:rPr>
          <w:b/>
        </w:rPr>
        <w:t xml:space="preserve">For Transfers to (Sub-)Processors, Specify Subject Matter, Nature, and Duration of the Processing:   </w:t>
      </w:r>
    </w:p>
    <w:p w14:paraId="2FEBF928" w14:textId="77777777" w:rsidR="002D05BD" w:rsidRPr="007A548E" w:rsidRDefault="007049B4">
      <w:pPr>
        <w:spacing w:after="163"/>
        <w:ind w:right="6"/>
      </w:pPr>
      <w:r w:rsidRPr="007A548E">
        <w:t xml:space="preserve">As stipulated in the Agreement and DPA, and agreed by the Parties, </w:t>
      </w:r>
      <w:proofErr w:type="spellStart"/>
      <w:r w:rsidRPr="007A548E">
        <w:t>Subprocessors</w:t>
      </w:r>
      <w:proofErr w:type="spellEnd"/>
      <w:r w:rsidRPr="007A548E">
        <w:t xml:space="preserve"> may process and store Customer Personal Data </w:t>
      </w:r>
      <w:proofErr w:type="gramStart"/>
      <w:r w:rsidRPr="007A548E">
        <w:t>in order to</w:t>
      </w:r>
      <w:proofErr w:type="gramEnd"/>
      <w:r w:rsidRPr="007A548E">
        <w:t xml:space="preserve"> support and/or improve the </w:t>
      </w:r>
      <w:proofErr w:type="spellStart"/>
      <w:r w:rsidRPr="007A548E">
        <w:t>Energage</w:t>
      </w:r>
      <w:proofErr w:type="spellEnd"/>
      <w:r w:rsidRPr="007A548E">
        <w:t xml:space="preserve"> Service.   </w:t>
      </w:r>
    </w:p>
    <w:p w14:paraId="0AC242A9" w14:textId="6CB56206" w:rsidR="002D05BD" w:rsidRPr="007A548E" w:rsidRDefault="007049B4">
      <w:pPr>
        <w:spacing w:after="168"/>
        <w:ind w:right="116"/>
      </w:pPr>
      <w:r w:rsidRPr="007A548E">
        <w:t xml:space="preserve">Information regarding data </w:t>
      </w:r>
      <w:proofErr w:type="gramStart"/>
      <w:r w:rsidRPr="007A548E">
        <w:t>importer’s</w:t>
      </w:r>
      <w:proofErr w:type="gramEnd"/>
      <w:r w:rsidRPr="007A548E">
        <w:t xml:space="preserve"> current </w:t>
      </w:r>
      <w:proofErr w:type="spellStart"/>
      <w:proofErr w:type="gramStart"/>
      <w:r w:rsidRPr="007A548E">
        <w:t>subprocessors</w:t>
      </w:r>
      <w:proofErr w:type="spellEnd"/>
      <w:r w:rsidRPr="007A548E">
        <w:t>,</w:t>
      </w:r>
      <w:proofErr w:type="gramEnd"/>
      <w:r w:rsidRPr="007A548E">
        <w:t xml:space="preserve"> can be found available </w:t>
      </w:r>
      <w:hyperlink r:id="rId20" w:history="1">
        <w:r w:rsidRPr="007A548E">
          <w:rPr>
            <w:rStyle w:val="Hyperlink"/>
          </w:rPr>
          <w:t>here</w:t>
        </w:r>
      </w:hyperlink>
      <w:r w:rsidR="001C5CAA" w:rsidRPr="007A548E">
        <w:t>.</w:t>
      </w:r>
      <w:r w:rsidRPr="007A548E">
        <w:t xml:space="preserve">   </w:t>
      </w:r>
    </w:p>
    <w:p w14:paraId="370E491A" w14:textId="77777777" w:rsidR="002D05BD" w:rsidRPr="007A548E" w:rsidRDefault="007049B4" w:rsidP="001C5CAA">
      <w:pPr>
        <w:spacing w:after="161" w:line="250" w:lineRule="auto"/>
        <w:ind w:left="0" w:right="1" w:firstLine="0"/>
      </w:pPr>
      <w:r w:rsidRPr="007A548E">
        <w:rPr>
          <w:b/>
        </w:rPr>
        <w:t>C.</w:t>
      </w:r>
      <w:r w:rsidRPr="007A548E">
        <w:rPr>
          <w:rFonts w:ascii="Arial" w:eastAsia="Arial" w:hAnsi="Arial" w:cs="Arial"/>
          <w:b/>
        </w:rPr>
        <w:t xml:space="preserve"> </w:t>
      </w:r>
      <w:r w:rsidRPr="007A548E">
        <w:t xml:space="preserve"> </w:t>
      </w:r>
      <w:r w:rsidRPr="007A548E">
        <w:rPr>
          <w:b/>
        </w:rPr>
        <w:t xml:space="preserve">Competent Supervisory Authority   </w:t>
      </w:r>
    </w:p>
    <w:p w14:paraId="3A172976" w14:textId="77777777" w:rsidR="002D05BD" w:rsidRPr="007A548E" w:rsidRDefault="007049B4">
      <w:pPr>
        <w:spacing w:after="547"/>
        <w:ind w:right="6"/>
      </w:pPr>
      <w:r w:rsidRPr="007A548E">
        <w:t>Identify the competent supervisory authority/</w:t>
      </w:r>
      <w:proofErr w:type="spellStart"/>
      <w:r w:rsidRPr="007A548E">
        <w:t>ies</w:t>
      </w:r>
      <w:proofErr w:type="spellEnd"/>
      <w:r w:rsidRPr="007A548E">
        <w:t xml:space="preserve"> in accordance with Clause 13: Irish Data Protection Commission.  </w:t>
      </w:r>
    </w:p>
    <w:p w14:paraId="259E647E" w14:textId="77777777" w:rsidR="002D05BD" w:rsidRPr="007A548E" w:rsidRDefault="007049B4">
      <w:pPr>
        <w:spacing w:after="0" w:line="259" w:lineRule="auto"/>
        <w:ind w:left="120" w:firstLine="0"/>
      </w:pPr>
      <w:r w:rsidRPr="007A548E">
        <w:rPr>
          <w:rFonts w:ascii="Calibri" w:eastAsia="Calibri" w:hAnsi="Calibri" w:cs="Calibri"/>
          <w:b/>
          <w:sz w:val="32"/>
        </w:rPr>
        <w:t xml:space="preserve"> </w:t>
      </w:r>
    </w:p>
    <w:p w14:paraId="3D6D7070" w14:textId="5820FB6F" w:rsidR="002D05BD" w:rsidRPr="007A548E" w:rsidRDefault="007049B4" w:rsidP="004D6C46">
      <w:pPr>
        <w:spacing w:after="0" w:line="259" w:lineRule="auto"/>
        <w:ind w:left="120" w:firstLine="0"/>
        <w:sectPr w:rsidR="002D05BD" w:rsidRPr="007A548E">
          <w:headerReference w:type="even" r:id="rId21"/>
          <w:headerReference w:type="default" r:id="rId22"/>
          <w:footerReference w:type="even" r:id="rId23"/>
          <w:footerReference w:type="default" r:id="rId24"/>
          <w:headerReference w:type="first" r:id="rId25"/>
          <w:footerReference w:type="first" r:id="rId26"/>
          <w:pgSz w:w="12240" w:h="15840"/>
          <w:pgMar w:top="1479" w:right="1443" w:bottom="1462" w:left="1321" w:header="720" w:footer="720" w:gutter="0"/>
          <w:cols w:space="720"/>
        </w:sectPr>
      </w:pPr>
      <w:r w:rsidRPr="007A548E">
        <w:t xml:space="preserve"> </w:t>
      </w:r>
      <w:r w:rsidRPr="007A548E">
        <w:tab/>
      </w:r>
      <w:r w:rsidRPr="007A548E">
        <w:rPr>
          <w:rFonts w:ascii="Calibri" w:eastAsia="Calibri" w:hAnsi="Calibri" w:cs="Calibri"/>
          <w:b/>
          <w:sz w:val="32"/>
        </w:rPr>
        <w:t xml:space="preserve"> </w:t>
      </w:r>
    </w:p>
    <w:p w14:paraId="2A7F3F32" w14:textId="01AB83F1" w:rsidR="002D05BD" w:rsidRPr="007A548E" w:rsidRDefault="00B90FEA" w:rsidP="00A70AAB">
      <w:pPr>
        <w:pStyle w:val="Heading1"/>
        <w:spacing w:after="68"/>
        <w:ind w:left="0" w:firstLine="0"/>
      </w:pPr>
      <w:bookmarkStart w:id="18" w:name="_Toc219973378"/>
      <w:r w:rsidRPr="007A548E">
        <w:lastRenderedPageBreak/>
        <w:t xml:space="preserve">Exhibit 2 - </w:t>
      </w:r>
      <w:r w:rsidR="007049B4" w:rsidRPr="007A548E">
        <w:t>Technical and Organizational Measures</w:t>
      </w:r>
      <w:bookmarkEnd w:id="18"/>
      <w:r w:rsidR="007049B4" w:rsidRPr="007A548E">
        <w:t xml:space="preserve">  </w:t>
      </w:r>
    </w:p>
    <w:p w14:paraId="297F7C00" w14:textId="183766DE" w:rsidR="002D05BD" w:rsidRPr="007A548E" w:rsidRDefault="007049B4" w:rsidP="001C5CAA">
      <w:pPr>
        <w:spacing w:after="0"/>
        <w:ind w:left="11" w:right="6"/>
      </w:pPr>
      <w:r w:rsidRPr="007A548E">
        <w:t xml:space="preserve">Processor will maintain reasonable administrative, physical, and technical safeguards for protection of the security, confidentiality, and integrity of personal data transferred to Processor as described in this DPA and </w:t>
      </w:r>
      <w:hyperlink r:id="rId27" w:history="1">
        <w:r w:rsidR="001C5CAA" w:rsidRPr="007A548E">
          <w:rPr>
            <w:rStyle w:val="Hyperlink"/>
          </w:rPr>
          <w:t>here</w:t>
        </w:r>
      </w:hyperlink>
      <w:r w:rsidR="001C5CAA" w:rsidRPr="007A548E">
        <w:t>.</w:t>
      </w:r>
      <w:r w:rsidRPr="007A548E">
        <w:tab/>
      </w:r>
      <w:r w:rsidRPr="007A548E">
        <w:rPr>
          <w:rFonts w:ascii="Calibri" w:eastAsia="Calibri" w:hAnsi="Calibri" w:cs="Calibri"/>
          <w:b/>
          <w:sz w:val="32"/>
        </w:rPr>
        <w:t xml:space="preserve"> </w:t>
      </w:r>
      <w:r w:rsidRPr="007A548E">
        <w:br w:type="page"/>
      </w:r>
    </w:p>
    <w:p w14:paraId="1AC4D296" w14:textId="7AB52E50" w:rsidR="002D05BD" w:rsidRPr="007A548E" w:rsidRDefault="00B90FEA" w:rsidP="00E7673E">
      <w:pPr>
        <w:pStyle w:val="Heading1"/>
        <w:spacing w:after="68"/>
        <w:ind w:left="0" w:firstLine="0"/>
      </w:pPr>
      <w:bookmarkStart w:id="19" w:name="_Toc219973379"/>
      <w:r w:rsidRPr="007A548E">
        <w:lastRenderedPageBreak/>
        <w:t xml:space="preserve">Exhibit 3 - </w:t>
      </w:r>
      <w:r w:rsidR="007049B4" w:rsidRPr="007A548E">
        <w:t>Sub-</w:t>
      </w:r>
      <w:r w:rsidR="007049B4" w:rsidRPr="007A548E">
        <w:t>processors </w:t>
      </w:r>
      <w:bookmarkEnd w:id="19"/>
      <w:r w:rsidR="007049B4" w:rsidRPr="007A548E">
        <w:t xml:space="preserve">  </w:t>
      </w:r>
    </w:p>
    <w:p w14:paraId="0BCF7C04" w14:textId="7DCB98B1" w:rsidR="002D05BD" w:rsidRPr="007A548E" w:rsidRDefault="007049B4">
      <w:pPr>
        <w:spacing w:after="270"/>
        <w:ind w:left="11" w:right="116"/>
      </w:pPr>
      <w:r w:rsidRPr="007A548E">
        <w:t>By entering into this DPA, the Customer has authorized the use of the listed </w:t>
      </w:r>
      <w:proofErr w:type="spellStart"/>
      <w:r w:rsidRPr="007A548E">
        <w:t>Subprocessors</w:t>
      </w:r>
      <w:proofErr w:type="spellEnd"/>
      <w:r w:rsidRPr="007A548E">
        <w:t xml:space="preserve"> found </w:t>
      </w:r>
      <w:hyperlink r:id="rId28" w:history="1">
        <w:r w:rsidRPr="007A548E">
          <w:rPr>
            <w:rStyle w:val="Hyperlink"/>
          </w:rPr>
          <w:t>here</w:t>
        </w:r>
      </w:hyperlink>
      <w:r w:rsidR="00444371" w:rsidRPr="007A548E">
        <w:t>.</w:t>
      </w:r>
    </w:p>
    <w:p w14:paraId="31D56FC8" w14:textId="77777777" w:rsidR="002D05BD" w:rsidRPr="007A548E" w:rsidRDefault="007049B4">
      <w:pPr>
        <w:spacing w:after="0" w:line="259" w:lineRule="auto"/>
        <w:ind w:left="1" w:firstLine="0"/>
      </w:pPr>
      <w:r w:rsidRPr="007A548E">
        <w:t xml:space="preserve"> </w:t>
      </w:r>
      <w:r w:rsidRPr="007A548E">
        <w:tab/>
      </w:r>
      <w:r w:rsidRPr="007A548E">
        <w:rPr>
          <w:rFonts w:ascii="Calibri" w:eastAsia="Calibri" w:hAnsi="Calibri" w:cs="Calibri"/>
          <w:b/>
          <w:sz w:val="32"/>
        </w:rPr>
        <w:t xml:space="preserve"> </w:t>
      </w:r>
      <w:r w:rsidRPr="007A548E">
        <w:br w:type="page"/>
      </w:r>
    </w:p>
    <w:p w14:paraId="642E2CB0" w14:textId="6CA5DA4B" w:rsidR="002D05BD" w:rsidRPr="007A548E" w:rsidRDefault="00B90FEA" w:rsidP="00E7673E">
      <w:pPr>
        <w:pStyle w:val="Heading1"/>
        <w:spacing w:after="68"/>
        <w:ind w:left="0" w:firstLine="0"/>
      </w:pPr>
      <w:bookmarkStart w:id="20" w:name="_Toc219973380"/>
      <w:r w:rsidRPr="007A548E">
        <w:lastRenderedPageBreak/>
        <w:t xml:space="preserve">Exhibit 4 - </w:t>
      </w:r>
      <w:r w:rsidR="007049B4" w:rsidRPr="007A548E">
        <w:t>Standard Contractual Clauses</w:t>
      </w:r>
      <w:bookmarkEnd w:id="20"/>
      <w:r w:rsidR="007049B4" w:rsidRPr="007A548E">
        <w:t xml:space="preserve">  </w:t>
      </w:r>
    </w:p>
    <w:p w14:paraId="0C18AB90" w14:textId="2C641344" w:rsidR="004D6C46" w:rsidRPr="004D6C46" w:rsidRDefault="007049B4" w:rsidP="004D6C46">
      <w:pPr>
        <w:spacing w:after="168"/>
        <w:ind w:left="11" w:right="6"/>
      </w:pPr>
      <w:r w:rsidRPr="007A548E">
        <w:t>T</w:t>
      </w:r>
      <w:r w:rsidRPr="007A548E">
        <w:t xml:space="preserve">he relevant provisions contained in </w:t>
      </w:r>
      <w:proofErr w:type="spellStart"/>
      <w:r w:rsidR="004D6C46" w:rsidRPr="007A548E">
        <w:t>Energage’s</w:t>
      </w:r>
      <w:proofErr w:type="spellEnd"/>
      <w:r w:rsidRPr="007A548E">
        <w:t xml:space="preserve"> </w:t>
      </w:r>
      <w:hyperlink r:id="rId29" w:history="1">
        <w:r w:rsidRPr="007A548E">
          <w:rPr>
            <w:rStyle w:val="Hyperlink"/>
          </w:rPr>
          <w:t>Standard Contractual Clauses</w:t>
        </w:r>
        <w:r w:rsidR="004D6C46" w:rsidRPr="007A548E">
          <w:rPr>
            <w:rStyle w:val="Hyperlink"/>
          </w:rPr>
          <w:t xml:space="preserve"> (SCCs)</w:t>
        </w:r>
      </w:hyperlink>
      <w:r w:rsidRPr="007A548E">
        <w:t xml:space="preserve"> are incorporated by </w:t>
      </w:r>
      <w:r w:rsidRPr="007A548E">
        <w:t>reference and are an integral part of the DPA.</w:t>
      </w:r>
      <w:r>
        <w:t xml:space="preserve"> </w:t>
      </w:r>
    </w:p>
    <w:p w14:paraId="5A753E64" w14:textId="297A7C72" w:rsidR="002D05BD" w:rsidRDefault="002D05BD">
      <w:pPr>
        <w:spacing w:after="168"/>
        <w:ind w:left="11" w:right="6"/>
      </w:pPr>
    </w:p>
    <w:p w14:paraId="5EE77617" w14:textId="77777777" w:rsidR="002D05BD" w:rsidRDefault="007049B4">
      <w:pPr>
        <w:spacing w:after="0" w:line="259" w:lineRule="auto"/>
        <w:ind w:left="1" w:firstLine="0"/>
      </w:pPr>
      <w:r>
        <w:t xml:space="preserve">  </w:t>
      </w:r>
    </w:p>
    <w:sectPr w:rsidR="002D05BD">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1506"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41F79" w14:textId="77777777" w:rsidR="007049B4" w:rsidRDefault="007049B4">
      <w:pPr>
        <w:spacing w:after="0" w:line="240" w:lineRule="auto"/>
      </w:pPr>
      <w:r>
        <w:separator/>
      </w:r>
    </w:p>
  </w:endnote>
  <w:endnote w:type="continuationSeparator" w:id="0">
    <w:p w14:paraId="2E5EBB6F" w14:textId="77777777" w:rsidR="007049B4" w:rsidRDefault="00704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861E" w14:textId="77777777" w:rsidR="002D05BD" w:rsidRDefault="007049B4">
    <w:pPr>
      <w:spacing w:after="0" w:line="259" w:lineRule="auto"/>
      <w:ind w:left="120" w:firstLine="0"/>
    </w:pPr>
    <w:proofErr w:type="spellStart"/>
    <w:r>
      <w:t>Energage</w:t>
    </w:r>
    <w:proofErr w:type="spellEnd"/>
    <w:r>
      <w:t xml:space="preserve"> Public_2025Apr  </w:t>
    </w:r>
  </w:p>
  <w:p w14:paraId="2A3FF5F5" w14:textId="77777777" w:rsidR="002D05BD" w:rsidRDefault="007049B4">
    <w:pPr>
      <w:spacing w:after="0" w:line="259" w:lineRule="auto"/>
      <w:ind w:left="12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A34A" w14:textId="0B70C514" w:rsidR="007A548E" w:rsidRDefault="007A548E">
    <w:pPr>
      <w:pStyle w:val="Footer"/>
    </w:pPr>
    <w:proofErr w:type="spellStart"/>
    <w:r>
      <w:t>Energage</w:t>
    </w:r>
    <w:proofErr w:type="spellEnd"/>
    <w:r>
      <w:t xml:space="preserve"> Public</w:t>
    </w:r>
  </w:p>
  <w:p w14:paraId="35B1D7F3" w14:textId="01D50EAD" w:rsidR="002D05BD" w:rsidRDefault="002D05BD">
    <w:pPr>
      <w:spacing w:after="0" w:line="259" w:lineRule="auto"/>
      <w:ind w:left="12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3F6C6" w14:textId="77777777" w:rsidR="002D05BD" w:rsidRDefault="007049B4">
    <w:pPr>
      <w:spacing w:after="0" w:line="259" w:lineRule="auto"/>
      <w:ind w:left="120" w:firstLine="0"/>
    </w:pPr>
    <w:proofErr w:type="spellStart"/>
    <w:r>
      <w:t>Energage</w:t>
    </w:r>
    <w:proofErr w:type="spellEnd"/>
    <w:r>
      <w:t xml:space="preserve"> Public_2025Apr  </w:t>
    </w:r>
  </w:p>
  <w:p w14:paraId="33DF10CD" w14:textId="77777777" w:rsidR="002D05BD" w:rsidRDefault="007049B4">
    <w:pPr>
      <w:spacing w:after="0" w:line="259" w:lineRule="auto"/>
      <w:ind w:left="120" w:firstLine="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7351" w14:textId="77777777" w:rsidR="002D05BD" w:rsidRDefault="007049B4">
    <w:pPr>
      <w:spacing w:after="0" w:line="259" w:lineRule="auto"/>
      <w:ind w:left="1" w:firstLine="0"/>
    </w:pPr>
    <w:proofErr w:type="spellStart"/>
    <w:r>
      <w:t>Energage</w:t>
    </w:r>
    <w:proofErr w:type="spellEnd"/>
    <w:r>
      <w:t xml:space="preserve"> Public_2025Apr  </w:t>
    </w:r>
  </w:p>
  <w:p w14:paraId="0ACF9E5B" w14:textId="77777777" w:rsidR="002D05BD" w:rsidRDefault="007049B4">
    <w:pPr>
      <w:spacing w:after="0" w:line="259" w:lineRule="auto"/>
      <w:ind w:left="1"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48EF" w14:textId="0B88E60C" w:rsidR="00D21630" w:rsidRDefault="00D21630" w:rsidP="00D21630">
    <w:pPr>
      <w:pStyle w:val="Footer"/>
    </w:pPr>
    <w:proofErr w:type="spellStart"/>
    <w:r>
      <w:t>Energage</w:t>
    </w:r>
    <w:proofErr w:type="spellEnd"/>
    <w:r>
      <w:t xml:space="preserve"> Public</w:t>
    </w:r>
  </w:p>
  <w:p w14:paraId="1C674E72" w14:textId="35369F45" w:rsidR="006B20DB" w:rsidRDefault="006B20DB">
    <w:pPr>
      <w:pStyle w:val="Footer"/>
    </w:pPr>
  </w:p>
  <w:p w14:paraId="4CC6AA54" w14:textId="1A21C3F5" w:rsidR="002D05BD" w:rsidRDefault="002D05BD">
    <w:pPr>
      <w:spacing w:after="0" w:line="259" w:lineRule="auto"/>
      <w:ind w:left="1"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5433" w14:textId="77777777" w:rsidR="002D05BD" w:rsidRDefault="007049B4">
    <w:pPr>
      <w:spacing w:after="0" w:line="259" w:lineRule="auto"/>
      <w:ind w:left="1" w:firstLine="0"/>
    </w:pPr>
    <w:proofErr w:type="spellStart"/>
    <w:r>
      <w:t>Energage</w:t>
    </w:r>
    <w:proofErr w:type="spellEnd"/>
    <w:r>
      <w:t xml:space="preserve"> Public_2025Apr  </w:t>
    </w:r>
  </w:p>
  <w:p w14:paraId="3B1EF5C7" w14:textId="77777777" w:rsidR="002D05BD" w:rsidRDefault="007049B4">
    <w:pPr>
      <w:spacing w:after="0" w:line="259" w:lineRule="auto"/>
      <w:ind w:left="1"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8BD7E" w14:textId="77777777" w:rsidR="007049B4" w:rsidRDefault="007049B4">
      <w:pPr>
        <w:spacing w:after="0" w:line="240" w:lineRule="auto"/>
      </w:pPr>
      <w:r>
        <w:separator/>
      </w:r>
    </w:p>
  </w:footnote>
  <w:footnote w:type="continuationSeparator" w:id="0">
    <w:p w14:paraId="343E6841" w14:textId="77777777" w:rsidR="007049B4" w:rsidRDefault="00704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DB27B" w14:textId="77777777" w:rsidR="002D05BD" w:rsidRDefault="002D05BD">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BA83" w14:textId="77777777" w:rsidR="002D05BD" w:rsidRDefault="002D05BD">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E84B" w14:textId="77777777" w:rsidR="002D05BD" w:rsidRDefault="002D05BD">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6BD6" w14:textId="77777777" w:rsidR="002D05BD" w:rsidRDefault="007049B4">
    <w:pPr>
      <w:spacing w:after="0" w:line="259" w:lineRule="auto"/>
      <w:ind w:left="1" w:firstLine="0"/>
    </w:pPr>
    <w:r>
      <w:rPr>
        <w:rFonts w:ascii="Calibri" w:eastAsia="Calibri" w:hAnsi="Calibri" w:cs="Calibri"/>
        <w:b/>
        <w:sz w:val="32"/>
      </w:rPr>
      <w:t xml:space="preserve">Exhibit </w:t>
    </w:r>
    <w:r>
      <w:fldChar w:fldCharType="begin"/>
    </w:r>
    <w:r>
      <w:instrText xml:space="preserve"> PAGE   \* MERGEFORMAT </w:instrText>
    </w:r>
    <w:r>
      <w:fldChar w:fldCharType="separate"/>
    </w:r>
    <w:r>
      <w:rPr>
        <w:rFonts w:ascii="Calibri" w:eastAsia="Calibri" w:hAnsi="Calibri" w:cs="Calibri"/>
        <w:b/>
        <w:sz w:val="32"/>
      </w:rPr>
      <w:t>2</w:t>
    </w:r>
    <w:r>
      <w:rPr>
        <w:rFonts w:ascii="Calibri" w:eastAsia="Calibri" w:hAnsi="Calibri" w:cs="Calibri"/>
        <w:b/>
        <w:sz w:val="32"/>
      </w:rPr>
      <w:fldChar w:fldCharType="end"/>
    </w:r>
    <w:r>
      <w:rPr>
        <w:rFonts w:ascii="Calibri" w:eastAsia="Calibri" w:hAnsi="Calibri" w:cs="Calibri"/>
        <w:b/>
        <w:sz w:val="3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A224D" w14:textId="4240F7A4" w:rsidR="002D05BD" w:rsidRDefault="00665A71">
    <w:pPr>
      <w:spacing w:after="0" w:line="259" w:lineRule="auto"/>
      <w:ind w:left="1" w:firstLine="0"/>
    </w:pPr>
    <w:r>
      <w:rPr>
        <w:rFonts w:ascii="Calibri" w:eastAsia="Calibri" w:hAnsi="Calibri" w:cs="Calibri"/>
        <w:b/>
        <w:sz w:val="3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E704E" w14:textId="77777777" w:rsidR="002D05BD" w:rsidRDefault="007049B4">
    <w:pPr>
      <w:spacing w:after="0" w:line="259" w:lineRule="auto"/>
      <w:ind w:left="1" w:firstLine="0"/>
    </w:pPr>
    <w:r>
      <w:rPr>
        <w:rFonts w:ascii="Calibri" w:eastAsia="Calibri" w:hAnsi="Calibri" w:cs="Calibri"/>
        <w:b/>
        <w:sz w:val="32"/>
      </w:rPr>
      <w:t xml:space="preserve">Exhibit </w:t>
    </w:r>
    <w:r>
      <w:fldChar w:fldCharType="begin"/>
    </w:r>
    <w:r>
      <w:instrText xml:space="preserve"> PAGE   \* MERGEFORMAT </w:instrText>
    </w:r>
    <w:r>
      <w:fldChar w:fldCharType="separate"/>
    </w:r>
    <w:r>
      <w:rPr>
        <w:rFonts w:ascii="Calibri" w:eastAsia="Calibri" w:hAnsi="Calibri" w:cs="Calibri"/>
        <w:b/>
        <w:sz w:val="32"/>
      </w:rPr>
      <w:t>2</w:t>
    </w:r>
    <w:r>
      <w:rPr>
        <w:rFonts w:ascii="Calibri" w:eastAsia="Calibri" w:hAnsi="Calibri" w:cs="Calibri"/>
        <w:b/>
        <w:sz w:val="32"/>
      </w:rPr>
      <w:fldChar w:fldCharType="end"/>
    </w:r>
    <w:r>
      <w:rPr>
        <w:rFonts w:ascii="Calibri" w:eastAsia="Calibri" w:hAnsi="Calibri" w:cs="Calibri"/>
        <w:b/>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297"/>
    <w:multiLevelType w:val="hybridMultilevel"/>
    <w:tmpl w:val="64625926"/>
    <w:lvl w:ilvl="0" w:tplc="7D720384">
      <w:start w:val="1"/>
      <w:numFmt w:val="lowerLetter"/>
      <w:lvlText w:val="%1."/>
      <w:lvlJc w:val="left"/>
      <w:pPr>
        <w:ind w:left="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2CA7D02">
      <w:start w:val="1"/>
      <w:numFmt w:val="lowerLetter"/>
      <w:lvlText w:val="%2"/>
      <w:lvlJc w:val="left"/>
      <w:pPr>
        <w:ind w:left="1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8FA1C30">
      <w:start w:val="1"/>
      <w:numFmt w:val="lowerRoman"/>
      <w:lvlText w:val="%3"/>
      <w:lvlJc w:val="left"/>
      <w:pPr>
        <w:ind w:left="2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44E5DB2">
      <w:start w:val="1"/>
      <w:numFmt w:val="decimal"/>
      <w:lvlText w:val="%4"/>
      <w:lvlJc w:val="left"/>
      <w:pPr>
        <w:ind w:left="2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3A6AC32">
      <w:start w:val="1"/>
      <w:numFmt w:val="lowerLetter"/>
      <w:lvlText w:val="%5"/>
      <w:lvlJc w:val="left"/>
      <w:pPr>
        <w:ind w:left="3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CE6C284">
      <w:start w:val="1"/>
      <w:numFmt w:val="lowerRoman"/>
      <w:lvlText w:val="%6"/>
      <w:lvlJc w:val="left"/>
      <w:pPr>
        <w:ind w:left="42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4AA1C3C">
      <w:start w:val="1"/>
      <w:numFmt w:val="decimal"/>
      <w:lvlText w:val="%7"/>
      <w:lvlJc w:val="left"/>
      <w:pPr>
        <w:ind w:left="49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1B4BDB6">
      <w:start w:val="1"/>
      <w:numFmt w:val="lowerLetter"/>
      <w:lvlText w:val="%8"/>
      <w:lvlJc w:val="left"/>
      <w:pPr>
        <w:ind w:left="56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EA8C954">
      <w:start w:val="1"/>
      <w:numFmt w:val="lowerRoman"/>
      <w:lvlText w:val="%9"/>
      <w:lvlJc w:val="left"/>
      <w:pPr>
        <w:ind w:left="6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82216C"/>
    <w:multiLevelType w:val="hybridMultilevel"/>
    <w:tmpl w:val="CC6A999E"/>
    <w:lvl w:ilvl="0" w:tplc="E0F49966">
      <w:start w:val="1"/>
      <w:numFmt w:val="upperLetter"/>
      <w:lvlText w:val="%1."/>
      <w:lvlJc w:val="left"/>
      <w:pPr>
        <w:ind w:left="476"/>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72385DC8">
      <w:start w:val="1"/>
      <w:numFmt w:val="lowerLetter"/>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4DA41330">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5CC0A42E">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E23A49B2">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B11E48D2">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2E96951A">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8D8475AC">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C96E37E2">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001FB6"/>
    <w:multiLevelType w:val="hybridMultilevel"/>
    <w:tmpl w:val="5C28C322"/>
    <w:lvl w:ilvl="0" w:tplc="678CF2B2">
      <w:start w:val="1"/>
      <w:numFmt w:val="lowerLetter"/>
      <w:lvlText w:val="%1."/>
      <w:lvlJc w:val="left"/>
      <w:pPr>
        <w:ind w:left="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594F1F6">
      <w:start w:val="1"/>
      <w:numFmt w:val="lowerRoman"/>
      <w:lvlText w:val="%2."/>
      <w:lvlJc w:val="left"/>
      <w:pPr>
        <w:ind w:left="15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43A9478">
      <w:start w:val="1"/>
      <w:numFmt w:val="lowerRoman"/>
      <w:lvlText w:val="%3"/>
      <w:lvlJc w:val="left"/>
      <w:pPr>
        <w:ind w:left="2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2ECAF9C">
      <w:start w:val="1"/>
      <w:numFmt w:val="decimal"/>
      <w:lvlText w:val="%4"/>
      <w:lvlJc w:val="left"/>
      <w:pPr>
        <w:ind w:left="2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4C28550">
      <w:start w:val="1"/>
      <w:numFmt w:val="lowerLetter"/>
      <w:lvlText w:val="%5"/>
      <w:lvlJc w:val="left"/>
      <w:pPr>
        <w:ind w:left="3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D38B0A6">
      <w:start w:val="1"/>
      <w:numFmt w:val="lowerRoman"/>
      <w:lvlText w:val="%6"/>
      <w:lvlJc w:val="left"/>
      <w:pPr>
        <w:ind w:left="42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052625C">
      <w:start w:val="1"/>
      <w:numFmt w:val="decimal"/>
      <w:lvlText w:val="%7"/>
      <w:lvlJc w:val="left"/>
      <w:pPr>
        <w:ind w:left="49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26E006A">
      <w:start w:val="1"/>
      <w:numFmt w:val="lowerLetter"/>
      <w:lvlText w:val="%8"/>
      <w:lvlJc w:val="left"/>
      <w:pPr>
        <w:ind w:left="56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DFCA6D0">
      <w:start w:val="1"/>
      <w:numFmt w:val="lowerRoman"/>
      <w:lvlText w:val="%9"/>
      <w:lvlJc w:val="left"/>
      <w:pPr>
        <w:ind w:left="63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E91012"/>
    <w:multiLevelType w:val="hybridMultilevel"/>
    <w:tmpl w:val="71044218"/>
    <w:lvl w:ilvl="0" w:tplc="EEC8213E">
      <w:start w:val="1"/>
      <w:numFmt w:val="bullet"/>
      <w:lvlText w:val="•"/>
      <w:lvlJc w:val="left"/>
      <w:pPr>
        <w:ind w:left="1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9851E2">
      <w:start w:val="1"/>
      <w:numFmt w:val="bullet"/>
      <w:lvlText w:val="o"/>
      <w:lvlJc w:val="left"/>
      <w:pPr>
        <w:ind w:left="1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A2A998">
      <w:start w:val="1"/>
      <w:numFmt w:val="bullet"/>
      <w:lvlText w:val="▪"/>
      <w:lvlJc w:val="left"/>
      <w:pPr>
        <w:ind w:left="2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143628">
      <w:start w:val="1"/>
      <w:numFmt w:val="bullet"/>
      <w:lvlText w:val="•"/>
      <w:lvlJc w:val="left"/>
      <w:pPr>
        <w:ind w:left="3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FADDD4">
      <w:start w:val="1"/>
      <w:numFmt w:val="bullet"/>
      <w:lvlText w:val="o"/>
      <w:lvlJc w:val="left"/>
      <w:pPr>
        <w:ind w:left="40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908924">
      <w:start w:val="1"/>
      <w:numFmt w:val="bullet"/>
      <w:lvlText w:val="▪"/>
      <w:lvlJc w:val="left"/>
      <w:pPr>
        <w:ind w:left="47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2AF6BC">
      <w:start w:val="1"/>
      <w:numFmt w:val="bullet"/>
      <w:lvlText w:val="•"/>
      <w:lvlJc w:val="left"/>
      <w:pPr>
        <w:ind w:left="5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AEB1C0">
      <w:start w:val="1"/>
      <w:numFmt w:val="bullet"/>
      <w:lvlText w:val="o"/>
      <w:lvlJc w:val="left"/>
      <w:pPr>
        <w:ind w:left="6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F04510">
      <w:start w:val="1"/>
      <w:numFmt w:val="bullet"/>
      <w:lvlText w:val="▪"/>
      <w:lvlJc w:val="left"/>
      <w:pPr>
        <w:ind w:left="6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1F5588"/>
    <w:multiLevelType w:val="hybridMultilevel"/>
    <w:tmpl w:val="1A301764"/>
    <w:lvl w:ilvl="0" w:tplc="BA328B60">
      <w:start w:val="1"/>
      <w:numFmt w:val="lowerLetter"/>
      <w:lvlText w:val="%1."/>
      <w:lvlJc w:val="left"/>
      <w:pPr>
        <w:ind w:left="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FFAA8AE">
      <w:start w:val="1"/>
      <w:numFmt w:val="lowerLetter"/>
      <w:lvlText w:val="%2"/>
      <w:lvlJc w:val="left"/>
      <w:pPr>
        <w:ind w:left="1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DFC13B6">
      <w:start w:val="1"/>
      <w:numFmt w:val="lowerRoman"/>
      <w:lvlText w:val="%3"/>
      <w:lvlJc w:val="left"/>
      <w:pPr>
        <w:ind w:left="2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136589E">
      <w:start w:val="1"/>
      <w:numFmt w:val="decimal"/>
      <w:lvlText w:val="%4"/>
      <w:lvlJc w:val="left"/>
      <w:pPr>
        <w:ind w:left="2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D5657CC">
      <w:start w:val="1"/>
      <w:numFmt w:val="lowerLetter"/>
      <w:lvlText w:val="%5"/>
      <w:lvlJc w:val="left"/>
      <w:pPr>
        <w:ind w:left="3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2342986">
      <w:start w:val="1"/>
      <w:numFmt w:val="lowerRoman"/>
      <w:lvlText w:val="%6"/>
      <w:lvlJc w:val="left"/>
      <w:pPr>
        <w:ind w:left="42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470A4C6">
      <w:start w:val="1"/>
      <w:numFmt w:val="decimal"/>
      <w:lvlText w:val="%7"/>
      <w:lvlJc w:val="left"/>
      <w:pPr>
        <w:ind w:left="49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76E185C">
      <w:start w:val="1"/>
      <w:numFmt w:val="lowerLetter"/>
      <w:lvlText w:val="%8"/>
      <w:lvlJc w:val="left"/>
      <w:pPr>
        <w:ind w:left="56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260D022">
      <w:start w:val="1"/>
      <w:numFmt w:val="lowerRoman"/>
      <w:lvlText w:val="%9"/>
      <w:lvlJc w:val="left"/>
      <w:pPr>
        <w:ind w:left="6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F45AA6"/>
    <w:multiLevelType w:val="hybridMultilevel"/>
    <w:tmpl w:val="C0D897A6"/>
    <w:lvl w:ilvl="0" w:tplc="415A6FE8">
      <w:start w:val="1"/>
      <w:numFmt w:val="lowerLetter"/>
      <w:lvlText w:val="%1."/>
      <w:lvlJc w:val="left"/>
      <w:pPr>
        <w:ind w:left="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9323D68">
      <w:start w:val="1"/>
      <w:numFmt w:val="lowerLetter"/>
      <w:lvlText w:val="%2"/>
      <w:lvlJc w:val="left"/>
      <w:pPr>
        <w:ind w:left="1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07A7682">
      <w:start w:val="1"/>
      <w:numFmt w:val="lowerRoman"/>
      <w:lvlText w:val="%3"/>
      <w:lvlJc w:val="left"/>
      <w:pPr>
        <w:ind w:left="2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EEE69BE">
      <w:start w:val="1"/>
      <w:numFmt w:val="decimal"/>
      <w:lvlText w:val="%4"/>
      <w:lvlJc w:val="left"/>
      <w:pPr>
        <w:ind w:left="2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47AC1D2">
      <w:start w:val="1"/>
      <w:numFmt w:val="lowerLetter"/>
      <w:lvlText w:val="%5"/>
      <w:lvlJc w:val="left"/>
      <w:pPr>
        <w:ind w:left="3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FDEB342">
      <w:start w:val="1"/>
      <w:numFmt w:val="lowerRoman"/>
      <w:lvlText w:val="%6"/>
      <w:lvlJc w:val="left"/>
      <w:pPr>
        <w:ind w:left="42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6DE8CDE">
      <w:start w:val="1"/>
      <w:numFmt w:val="decimal"/>
      <w:lvlText w:val="%7"/>
      <w:lvlJc w:val="left"/>
      <w:pPr>
        <w:ind w:left="49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2FA8BAE">
      <w:start w:val="1"/>
      <w:numFmt w:val="lowerLetter"/>
      <w:lvlText w:val="%8"/>
      <w:lvlJc w:val="left"/>
      <w:pPr>
        <w:ind w:left="56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5A6EDFC">
      <w:start w:val="1"/>
      <w:numFmt w:val="lowerRoman"/>
      <w:lvlText w:val="%9"/>
      <w:lvlJc w:val="left"/>
      <w:pPr>
        <w:ind w:left="6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6C7DAD"/>
    <w:multiLevelType w:val="hybridMultilevel"/>
    <w:tmpl w:val="713ED6BA"/>
    <w:lvl w:ilvl="0" w:tplc="44561578">
      <w:start w:val="1"/>
      <w:numFmt w:val="lowerLetter"/>
      <w:lvlText w:val="%1."/>
      <w:lvlJc w:val="left"/>
      <w:pPr>
        <w:ind w:left="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248A1E2">
      <w:start w:val="1"/>
      <w:numFmt w:val="lowerRoman"/>
      <w:lvlText w:val="%2."/>
      <w:lvlJc w:val="left"/>
      <w:pPr>
        <w:ind w:left="15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D8A405C">
      <w:start w:val="1"/>
      <w:numFmt w:val="lowerRoman"/>
      <w:lvlText w:val="%3"/>
      <w:lvlJc w:val="left"/>
      <w:pPr>
        <w:ind w:left="2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77EA52A">
      <w:start w:val="1"/>
      <w:numFmt w:val="decimal"/>
      <w:lvlText w:val="%4"/>
      <w:lvlJc w:val="left"/>
      <w:pPr>
        <w:ind w:left="2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A8861E8">
      <w:start w:val="1"/>
      <w:numFmt w:val="lowerLetter"/>
      <w:lvlText w:val="%5"/>
      <w:lvlJc w:val="left"/>
      <w:pPr>
        <w:ind w:left="3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ED0937C">
      <w:start w:val="1"/>
      <w:numFmt w:val="lowerRoman"/>
      <w:lvlText w:val="%6"/>
      <w:lvlJc w:val="left"/>
      <w:pPr>
        <w:ind w:left="42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E7A4B30">
      <w:start w:val="1"/>
      <w:numFmt w:val="decimal"/>
      <w:lvlText w:val="%7"/>
      <w:lvlJc w:val="left"/>
      <w:pPr>
        <w:ind w:left="49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538A2C0">
      <w:start w:val="1"/>
      <w:numFmt w:val="lowerLetter"/>
      <w:lvlText w:val="%8"/>
      <w:lvlJc w:val="left"/>
      <w:pPr>
        <w:ind w:left="56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4BC420C">
      <w:start w:val="1"/>
      <w:numFmt w:val="lowerRoman"/>
      <w:lvlText w:val="%9"/>
      <w:lvlJc w:val="left"/>
      <w:pPr>
        <w:ind w:left="63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EB73271"/>
    <w:multiLevelType w:val="hybridMultilevel"/>
    <w:tmpl w:val="9A4CD324"/>
    <w:lvl w:ilvl="0" w:tplc="AF6A1F18">
      <w:start w:val="1"/>
      <w:numFmt w:val="lowerLetter"/>
      <w:lvlText w:val="%1."/>
      <w:lvlJc w:val="left"/>
      <w:pPr>
        <w:ind w:left="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062ACF6">
      <w:start w:val="1"/>
      <w:numFmt w:val="lowerRoman"/>
      <w:lvlText w:val="%2."/>
      <w:lvlJc w:val="left"/>
      <w:pPr>
        <w:ind w:left="15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6DA5526">
      <w:start w:val="1"/>
      <w:numFmt w:val="lowerRoman"/>
      <w:lvlText w:val="%3"/>
      <w:lvlJc w:val="left"/>
      <w:pPr>
        <w:ind w:left="2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AA822A4">
      <w:start w:val="1"/>
      <w:numFmt w:val="decimal"/>
      <w:lvlText w:val="%4"/>
      <w:lvlJc w:val="left"/>
      <w:pPr>
        <w:ind w:left="2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7EC9F22">
      <w:start w:val="1"/>
      <w:numFmt w:val="lowerLetter"/>
      <w:lvlText w:val="%5"/>
      <w:lvlJc w:val="left"/>
      <w:pPr>
        <w:ind w:left="3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6608D42">
      <w:start w:val="1"/>
      <w:numFmt w:val="lowerRoman"/>
      <w:lvlText w:val="%6"/>
      <w:lvlJc w:val="left"/>
      <w:pPr>
        <w:ind w:left="42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F5E7EBE">
      <w:start w:val="1"/>
      <w:numFmt w:val="decimal"/>
      <w:lvlText w:val="%7"/>
      <w:lvlJc w:val="left"/>
      <w:pPr>
        <w:ind w:left="49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2B84B2A">
      <w:start w:val="1"/>
      <w:numFmt w:val="lowerLetter"/>
      <w:lvlText w:val="%8"/>
      <w:lvlJc w:val="left"/>
      <w:pPr>
        <w:ind w:left="56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72E593E">
      <w:start w:val="1"/>
      <w:numFmt w:val="lowerRoman"/>
      <w:lvlText w:val="%9"/>
      <w:lvlJc w:val="left"/>
      <w:pPr>
        <w:ind w:left="63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7F235D9"/>
    <w:multiLevelType w:val="hybridMultilevel"/>
    <w:tmpl w:val="1BC6FA46"/>
    <w:lvl w:ilvl="0" w:tplc="0D8E813C">
      <w:start w:val="1"/>
      <w:numFmt w:val="lowerRoman"/>
      <w:lvlText w:val="%1."/>
      <w:lvlJc w:val="left"/>
      <w:pPr>
        <w:ind w:left="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AE4020A">
      <w:start w:val="1"/>
      <w:numFmt w:val="lowerLetter"/>
      <w:lvlText w:val="%2"/>
      <w:lvlJc w:val="left"/>
      <w:pPr>
        <w:ind w:left="1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9B0D4B4">
      <w:start w:val="1"/>
      <w:numFmt w:val="lowerRoman"/>
      <w:lvlText w:val="%3"/>
      <w:lvlJc w:val="left"/>
      <w:pPr>
        <w:ind w:left="2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30A1350">
      <w:start w:val="1"/>
      <w:numFmt w:val="decimal"/>
      <w:lvlText w:val="%4"/>
      <w:lvlJc w:val="left"/>
      <w:pPr>
        <w:ind w:left="2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2623338">
      <w:start w:val="1"/>
      <w:numFmt w:val="lowerLetter"/>
      <w:lvlText w:val="%5"/>
      <w:lvlJc w:val="left"/>
      <w:pPr>
        <w:ind w:left="3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2F8AE2A">
      <w:start w:val="1"/>
      <w:numFmt w:val="lowerRoman"/>
      <w:lvlText w:val="%6"/>
      <w:lvlJc w:val="left"/>
      <w:pPr>
        <w:ind w:left="42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F4AE870">
      <w:start w:val="1"/>
      <w:numFmt w:val="decimal"/>
      <w:lvlText w:val="%7"/>
      <w:lvlJc w:val="left"/>
      <w:pPr>
        <w:ind w:left="49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D2084D8">
      <w:start w:val="1"/>
      <w:numFmt w:val="lowerLetter"/>
      <w:lvlText w:val="%8"/>
      <w:lvlJc w:val="left"/>
      <w:pPr>
        <w:ind w:left="56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028FCF0">
      <w:start w:val="1"/>
      <w:numFmt w:val="lowerRoman"/>
      <w:lvlText w:val="%9"/>
      <w:lvlJc w:val="left"/>
      <w:pPr>
        <w:ind w:left="6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BCE2D7C"/>
    <w:multiLevelType w:val="hybridMultilevel"/>
    <w:tmpl w:val="5CA232D8"/>
    <w:lvl w:ilvl="0" w:tplc="F1C00558">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290C626">
      <w:start w:val="3"/>
      <w:numFmt w:val="lowerRoman"/>
      <w:lvlText w:val="%2."/>
      <w:lvlJc w:val="left"/>
      <w:pPr>
        <w:ind w:left="15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98283EA">
      <w:start w:val="1"/>
      <w:numFmt w:val="lowerRoman"/>
      <w:lvlText w:val="%3"/>
      <w:lvlJc w:val="left"/>
      <w:pPr>
        <w:ind w:left="2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31C0A9E">
      <w:start w:val="1"/>
      <w:numFmt w:val="decimal"/>
      <w:lvlText w:val="%4"/>
      <w:lvlJc w:val="left"/>
      <w:pPr>
        <w:ind w:left="2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262AD26">
      <w:start w:val="1"/>
      <w:numFmt w:val="lowerLetter"/>
      <w:lvlText w:val="%5"/>
      <w:lvlJc w:val="left"/>
      <w:pPr>
        <w:ind w:left="3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8E6355E">
      <w:start w:val="1"/>
      <w:numFmt w:val="lowerRoman"/>
      <w:lvlText w:val="%6"/>
      <w:lvlJc w:val="left"/>
      <w:pPr>
        <w:ind w:left="42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1D2CFA6">
      <w:start w:val="1"/>
      <w:numFmt w:val="decimal"/>
      <w:lvlText w:val="%7"/>
      <w:lvlJc w:val="left"/>
      <w:pPr>
        <w:ind w:left="49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FAC0B76">
      <w:start w:val="1"/>
      <w:numFmt w:val="lowerLetter"/>
      <w:lvlText w:val="%8"/>
      <w:lvlJc w:val="left"/>
      <w:pPr>
        <w:ind w:left="56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79CE384">
      <w:start w:val="1"/>
      <w:numFmt w:val="lowerRoman"/>
      <w:lvlText w:val="%9"/>
      <w:lvlJc w:val="left"/>
      <w:pPr>
        <w:ind w:left="63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1E30B32"/>
    <w:multiLevelType w:val="hybridMultilevel"/>
    <w:tmpl w:val="553E9C5C"/>
    <w:lvl w:ilvl="0" w:tplc="03DEDBFC">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CC0A1CE">
      <w:start w:val="8"/>
      <w:numFmt w:val="lowerRoman"/>
      <w:lvlText w:val="%2."/>
      <w:lvlJc w:val="left"/>
      <w:pPr>
        <w:ind w:left="15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95CCD96">
      <w:start w:val="1"/>
      <w:numFmt w:val="lowerRoman"/>
      <w:lvlText w:val="%3"/>
      <w:lvlJc w:val="left"/>
      <w:pPr>
        <w:ind w:left="2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6F29394">
      <w:start w:val="1"/>
      <w:numFmt w:val="decimal"/>
      <w:lvlText w:val="%4"/>
      <w:lvlJc w:val="left"/>
      <w:pPr>
        <w:ind w:left="2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33C3768">
      <w:start w:val="1"/>
      <w:numFmt w:val="lowerLetter"/>
      <w:lvlText w:val="%5"/>
      <w:lvlJc w:val="left"/>
      <w:pPr>
        <w:ind w:left="3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3220F16">
      <w:start w:val="1"/>
      <w:numFmt w:val="lowerRoman"/>
      <w:lvlText w:val="%6"/>
      <w:lvlJc w:val="left"/>
      <w:pPr>
        <w:ind w:left="42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BEE7448">
      <w:start w:val="1"/>
      <w:numFmt w:val="decimal"/>
      <w:lvlText w:val="%7"/>
      <w:lvlJc w:val="left"/>
      <w:pPr>
        <w:ind w:left="49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8BC3844">
      <w:start w:val="1"/>
      <w:numFmt w:val="lowerLetter"/>
      <w:lvlText w:val="%8"/>
      <w:lvlJc w:val="left"/>
      <w:pPr>
        <w:ind w:left="56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7BE1978">
      <w:start w:val="1"/>
      <w:numFmt w:val="lowerRoman"/>
      <w:lvlText w:val="%9"/>
      <w:lvlJc w:val="left"/>
      <w:pPr>
        <w:ind w:left="63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FD75257"/>
    <w:multiLevelType w:val="hybridMultilevel"/>
    <w:tmpl w:val="23EED668"/>
    <w:lvl w:ilvl="0" w:tplc="0832CE40">
      <w:start w:val="1"/>
      <w:numFmt w:val="lowerLetter"/>
      <w:lvlText w:val="%1."/>
      <w:lvlJc w:val="left"/>
      <w:pPr>
        <w:ind w:left="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409001B">
      <w:start w:val="1"/>
      <w:numFmt w:val="lowerRoman"/>
      <w:lvlText w:val="%2."/>
      <w:lvlJc w:val="right"/>
      <w:pPr>
        <w:ind w:left="1680" w:hanging="360"/>
      </w:pPr>
    </w:lvl>
    <w:lvl w:ilvl="2" w:tplc="5A3ADC84">
      <w:start w:val="1"/>
      <w:numFmt w:val="lowerRoman"/>
      <w:lvlText w:val="%3"/>
      <w:lvlJc w:val="left"/>
      <w:pPr>
        <w:ind w:left="2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86ABEE4">
      <w:start w:val="1"/>
      <w:numFmt w:val="decimal"/>
      <w:lvlText w:val="%4"/>
      <w:lvlJc w:val="left"/>
      <w:pPr>
        <w:ind w:left="2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32AF5A8">
      <w:start w:val="1"/>
      <w:numFmt w:val="lowerLetter"/>
      <w:lvlText w:val="%5"/>
      <w:lvlJc w:val="left"/>
      <w:pPr>
        <w:ind w:left="3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87EE204">
      <w:start w:val="1"/>
      <w:numFmt w:val="lowerRoman"/>
      <w:lvlText w:val="%6"/>
      <w:lvlJc w:val="left"/>
      <w:pPr>
        <w:ind w:left="42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2FC3F56">
      <w:start w:val="1"/>
      <w:numFmt w:val="decimal"/>
      <w:lvlText w:val="%7"/>
      <w:lvlJc w:val="left"/>
      <w:pPr>
        <w:ind w:left="49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E4245AE">
      <w:start w:val="1"/>
      <w:numFmt w:val="lowerLetter"/>
      <w:lvlText w:val="%8"/>
      <w:lvlJc w:val="left"/>
      <w:pPr>
        <w:ind w:left="56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A5EB27C">
      <w:start w:val="1"/>
      <w:numFmt w:val="lowerRoman"/>
      <w:lvlText w:val="%9"/>
      <w:lvlJc w:val="left"/>
      <w:pPr>
        <w:ind w:left="6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1EF2EAE"/>
    <w:multiLevelType w:val="hybridMultilevel"/>
    <w:tmpl w:val="174AB9C2"/>
    <w:lvl w:ilvl="0" w:tplc="EEF8601A">
      <w:start w:val="3"/>
      <w:numFmt w:val="lowerRoman"/>
      <w:lvlText w:val="%1."/>
      <w:lvlJc w:val="left"/>
      <w:pPr>
        <w:ind w:left="541"/>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41B410D6">
      <w:start w:val="1"/>
      <w:numFmt w:val="bullet"/>
      <w:lvlText w:val="•"/>
      <w:lvlJc w:val="left"/>
      <w:pPr>
        <w:ind w:left="1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BE2DE0">
      <w:start w:val="1"/>
      <w:numFmt w:val="bullet"/>
      <w:lvlText w:val="▪"/>
      <w:lvlJc w:val="left"/>
      <w:pPr>
        <w:ind w:left="1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AC1F92">
      <w:start w:val="1"/>
      <w:numFmt w:val="bullet"/>
      <w:lvlText w:val="•"/>
      <w:lvlJc w:val="left"/>
      <w:pPr>
        <w:ind w:left="2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86DEE0">
      <w:start w:val="1"/>
      <w:numFmt w:val="bullet"/>
      <w:lvlText w:val="o"/>
      <w:lvlJc w:val="left"/>
      <w:pPr>
        <w:ind w:left="3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E83FEE">
      <w:start w:val="1"/>
      <w:numFmt w:val="bullet"/>
      <w:lvlText w:val="▪"/>
      <w:lvlJc w:val="left"/>
      <w:pPr>
        <w:ind w:left="40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8013F8">
      <w:start w:val="1"/>
      <w:numFmt w:val="bullet"/>
      <w:lvlText w:val="•"/>
      <w:lvlJc w:val="left"/>
      <w:pPr>
        <w:ind w:left="4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42CA2A">
      <w:start w:val="1"/>
      <w:numFmt w:val="bullet"/>
      <w:lvlText w:val="o"/>
      <w:lvlJc w:val="left"/>
      <w:pPr>
        <w:ind w:left="5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ECF390">
      <w:start w:val="1"/>
      <w:numFmt w:val="bullet"/>
      <w:lvlText w:val="▪"/>
      <w:lvlJc w:val="left"/>
      <w:pPr>
        <w:ind w:left="6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3183DF3"/>
    <w:multiLevelType w:val="hybridMultilevel"/>
    <w:tmpl w:val="9DA8D452"/>
    <w:lvl w:ilvl="0" w:tplc="CFAEFB9A">
      <w:start w:val="1"/>
      <w:numFmt w:val="lowerLetter"/>
      <w:lvlText w:val="%1."/>
      <w:lvlJc w:val="left"/>
      <w:pPr>
        <w:ind w:left="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53A5F48">
      <w:start w:val="1"/>
      <w:numFmt w:val="lowerRoman"/>
      <w:lvlText w:val="%2."/>
      <w:lvlJc w:val="left"/>
      <w:pPr>
        <w:ind w:left="15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BE241B4">
      <w:start w:val="1"/>
      <w:numFmt w:val="lowerRoman"/>
      <w:lvlText w:val="%3"/>
      <w:lvlJc w:val="left"/>
      <w:pPr>
        <w:ind w:left="2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1A45326">
      <w:start w:val="1"/>
      <w:numFmt w:val="decimal"/>
      <w:lvlText w:val="%4"/>
      <w:lvlJc w:val="left"/>
      <w:pPr>
        <w:ind w:left="2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5340B82">
      <w:start w:val="1"/>
      <w:numFmt w:val="lowerLetter"/>
      <w:lvlText w:val="%5"/>
      <w:lvlJc w:val="left"/>
      <w:pPr>
        <w:ind w:left="3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10C7E36">
      <w:start w:val="1"/>
      <w:numFmt w:val="lowerRoman"/>
      <w:lvlText w:val="%6"/>
      <w:lvlJc w:val="left"/>
      <w:pPr>
        <w:ind w:left="42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6A6C07E">
      <w:start w:val="1"/>
      <w:numFmt w:val="decimal"/>
      <w:lvlText w:val="%7"/>
      <w:lvlJc w:val="left"/>
      <w:pPr>
        <w:ind w:left="49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E002920">
      <w:start w:val="1"/>
      <w:numFmt w:val="lowerLetter"/>
      <w:lvlText w:val="%8"/>
      <w:lvlJc w:val="left"/>
      <w:pPr>
        <w:ind w:left="56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9562388">
      <w:start w:val="1"/>
      <w:numFmt w:val="lowerRoman"/>
      <w:lvlText w:val="%9"/>
      <w:lvlJc w:val="left"/>
      <w:pPr>
        <w:ind w:left="63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8191737"/>
    <w:multiLevelType w:val="hybridMultilevel"/>
    <w:tmpl w:val="9DECCEF2"/>
    <w:lvl w:ilvl="0" w:tplc="C114AB64">
      <w:start w:val="1"/>
      <w:numFmt w:val="lowerLetter"/>
      <w:lvlText w:val="%1."/>
      <w:lvlJc w:val="left"/>
      <w:pPr>
        <w:ind w:left="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B6C2E7E">
      <w:start w:val="1"/>
      <w:numFmt w:val="lowerLetter"/>
      <w:lvlText w:val="%2"/>
      <w:lvlJc w:val="left"/>
      <w:pPr>
        <w:ind w:left="1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B22F4F4">
      <w:start w:val="1"/>
      <w:numFmt w:val="lowerRoman"/>
      <w:lvlText w:val="%3"/>
      <w:lvlJc w:val="left"/>
      <w:pPr>
        <w:ind w:left="2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648453C">
      <w:start w:val="1"/>
      <w:numFmt w:val="decimal"/>
      <w:lvlText w:val="%4"/>
      <w:lvlJc w:val="left"/>
      <w:pPr>
        <w:ind w:left="2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4E2EFC2">
      <w:start w:val="1"/>
      <w:numFmt w:val="lowerLetter"/>
      <w:lvlText w:val="%5"/>
      <w:lvlJc w:val="left"/>
      <w:pPr>
        <w:ind w:left="3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8DE4D3E">
      <w:start w:val="1"/>
      <w:numFmt w:val="lowerRoman"/>
      <w:lvlText w:val="%6"/>
      <w:lvlJc w:val="left"/>
      <w:pPr>
        <w:ind w:left="42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7CC64B0">
      <w:start w:val="1"/>
      <w:numFmt w:val="decimal"/>
      <w:lvlText w:val="%7"/>
      <w:lvlJc w:val="left"/>
      <w:pPr>
        <w:ind w:left="49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148B128">
      <w:start w:val="1"/>
      <w:numFmt w:val="lowerLetter"/>
      <w:lvlText w:val="%8"/>
      <w:lvlJc w:val="left"/>
      <w:pPr>
        <w:ind w:left="56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2B0900C">
      <w:start w:val="1"/>
      <w:numFmt w:val="lowerRoman"/>
      <w:lvlText w:val="%9"/>
      <w:lvlJc w:val="left"/>
      <w:pPr>
        <w:ind w:left="6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16cid:durableId="1072964190">
    <w:abstractNumId w:val="5"/>
  </w:num>
  <w:num w:numId="2" w16cid:durableId="768888203">
    <w:abstractNumId w:val="4"/>
  </w:num>
  <w:num w:numId="3" w16cid:durableId="1539276120">
    <w:abstractNumId w:val="2"/>
  </w:num>
  <w:num w:numId="4" w16cid:durableId="441801933">
    <w:abstractNumId w:val="13"/>
  </w:num>
  <w:num w:numId="5" w16cid:durableId="144048542">
    <w:abstractNumId w:val="14"/>
  </w:num>
  <w:num w:numId="6" w16cid:durableId="1603495062">
    <w:abstractNumId w:val="8"/>
  </w:num>
  <w:num w:numId="7" w16cid:durableId="503328160">
    <w:abstractNumId w:val="11"/>
  </w:num>
  <w:num w:numId="8" w16cid:durableId="362638134">
    <w:abstractNumId w:val="9"/>
  </w:num>
  <w:num w:numId="9" w16cid:durableId="1689479900">
    <w:abstractNumId w:val="10"/>
  </w:num>
  <w:num w:numId="10" w16cid:durableId="474418861">
    <w:abstractNumId w:val="6"/>
  </w:num>
  <w:num w:numId="11" w16cid:durableId="720176867">
    <w:abstractNumId w:val="0"/>
  </w:num>
  <w:num w:numId="12" w16cid:durableId="493304119">
    <w:abstractNumId w:val="7"/>
  </w:num>
  <w:num w:numId="13" w16cid:durableId="162356202">
    <w:abstractNumId w:val="1"/>
  </w:num>
  <w:num w:numId="14" w16cid:durableId="1465195073">
    <w:abstractNumId w:val="3"/>
  </w:num>
  <w:num w:numId="15" w16cid:durableId="8937390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BD"/>
    <w:rsid w:val="00001686"/>
    <w:rsid w:val="000268EE"/>
    <w:rsid w:val="0003079B"/>
    <w:rsid w:val="000322EC"/>
    <w:rsid w:val="000551B3"/>
    <w:rsid w:val="0006251A"/>
    <w:rsid w:val="000E5CDB"/>
    <w:rsid w:val="001A3468"/>
    <w:rsid w:val="001B6048"/>
    <w:rsid w:val="001C5CAA"/>
    <w:rsid w:val="00255546"/>
    <w:rsid w:val="002B58B9"/>
    <w:rsid w:val="002D05BD"/>
    <w:rsid w:val="002F2FE7"/>
    <w:rsid w:val="00335D6F"/>
    <w:rsid w:val="00345A7C"/>
    <w:rsid w:val="003507C3"/>
    <w:rsid w:val="00352BF3"/>
    <w:rsid w:val="00366877"/>
    <w:rsid w:val="003D0DAF"/>
    <w:rsid w:val="003D5F48"/>
    <w:rsid w:val="003F066F"/>
    <w:rsid w:val="00432D87"/>
    <w:rsid w:val="00444371"/>
    <w:rsid w:val="00460A09"/>
    <w:rsid w:val="00475274"/>
    <w:rsid w:val="004A1303"/>
    <w:rsid w:val="004D6C46"/>
    <w:rsid w:val="005171A4"/>
    <w:rsid w:val="00564EAC"/>
    <w:rsid w:val="005A5922"/>
    <w:rsid w:val="005A716E"/>
    <w:rsid w:val="005B2D84"/>
    <w:rsid w:val="005B7BC5"/>
    <w:rsid w:val="00640C43"/>
    <w:rsid w:val="00644729"/>
    <w:rsid w:val="006512D3"/>
    <w:rsid w:val="00665A71"/>
    <w:rsid w:val="00697357"/>
    <w:rsid w:val="006B00FE"/>
    <w:rsid w:val="006B20DB"/>
    <w:rsid w:val="006D2E0D"/>
    <w:rsid w:val="006F407F"/>
    <w:rsid w:val="007049B4"/>
    <w:rsid w:val="007223FD"/>
    <w:rsid w:val="007356E3"/>
    <w:rsid w:val="007451A4"/>
    <w:rsid w:val="007559E4"/>
    <w:rsid w:val="00772528"/>
    <w:rsid w:val="00783A05"/>
    <w:rsid w:val="00792AC6"/>
    <w:rsid w:val="007A548E"/>
    <w:rsid w:val="007A7190"/>
    <w:rsid w:val="007C1BBF"/>
    <w:rsid w:val="007C4653"/>
    <w:rsid w:val="007D6BB7"/>
    <w:rsid w:val="00801D44"/>
    <w:rsid w:val="008279B8"/>
    <w:rsid w:val="00831BD9"/>
    <w:rsid w:val="0083712C"/>
    <w:rsid w:val="0084569A"/>
    <w:rsid w:val="0093120E"/>
    <w:rsid w:val="009553FC"/>
    <w:rsid w:val="009771AB"/>
    <w:rsid w:val="00995E23"/>
    <w:rsid w:val="009D5139"/>
    <w:rsid w:val="00A255B7"/>
    <w:rsid w:val="00A60760"/>
    <w:rsid w:val="00A614EC"/>
    <w:rsid w:val="00A63290"/>
    <w:rsid w:val="00A6624F"/>
    <w:rsid w:val="00A70AAB"/>
    <w:rsid w:val="00A81312"/>
    <w:rsid w:val="00AA175D"/>
    <w:rsid w:val="00B00CA2"/>
    <w:rsid w:val="00B3192D"/>
    <w:rsid w:val="00B47091"/>
    <w:rsid w:val="00B90FEA"/>
    <w:rsid w:val="00BB4BEC"/>
    <w:rsid w:val="00BC4440"/>
    <w:rsid w:val="00BD416F"/>
    <w:rsid w:val="00BD67D2"/>
    <w:rsid w:val="00C15959"/>
    <w:rsid w:val="00C241DC"/>
    <w:rsid w:val="00C243A8"/>
    <w:rsid w:val="00C52568"/>
    <w:rsid w:val="00C8662A"/>
    <w:rsid w:val="00CA5F61"/>
    <w:rsid w:val="00CB7AD6"/>
    <w:rsid w:val="00CC5177"/>
    <w:rsid w:val="00D00041"/>
    <w:rsid w:val="00D21630"/>
    <w:rsid w:val="00D373AF"/>
    <w:rsid w:val="00D42019"/>
    <w:rsid w:val="00D50FC2"/>
    <w:rsid w:val="00D72446"/>
    <w:rsid w:val="00D742A8"/>
    <w:rsid w:val="00DB46A8"/>
    <w:rsid w:val="00DF60F9"/>
    <w:rsid w:val="00DF6593"/>
    <w:rsid w:val="00E14CCB"/>
    <w:rsid w:val="00E5522C"/>
    <w:rsid w:val="00E62682"/>
    <w:rsid w:val="00E7673E"/>
    <w:rsid w:val="00E8013D"/>
    <w:rsid w:val="00EA74F2"/>
    <w:rsid w:val="00EC14A6"/>
    <w:rsid w:val="00EE4B58"/>
    <w:rsid w:val="00EE557A"/>
    <w:rsid w:val="00EF48B0"/>
    <w:rsid w:val="00EF6CFA"/>
    <w:rsid w:val="00F120C5"/>
    <w:rsid w:val="00F21814"/>
    <w:rsid w:val="00F332E5"/>
    <w:rsid w:val="00F35136"/>
    <w:rsid w:val="00F51B88"/>
    <w:rsid w:val="00FA25DB"/>
    <w:rsid w:val="00FC00CD"/>
    <w:rsid w:val="00FF39A4"/>
    <w:rsid w:val="00FF4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BB973"/>
  <w15:docId w15:val="{2ABF1D65-76E7-4C9A-9978-A98B7C8E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 w:line="249" w:lineRule="auto"/>
      <w:ind w:left="130" w:hanging="10"/>
    </w:pPr>
    <w:rPr>
      <w:rFonts w:ascii="Cambria" w:eastAsia="Cambria" w:hAnsi="Cambria" w:cs="Cambria"/>
      <w:color w:val="000000"/>
    </w:rPr>
  </w:style>
  <w:style w:type="paragraph" w:styleId="Heading1">
    <w:name w:val="heading 1"/>
    <w:next w:val="Normal"/>
    <w:link w:val="Heading1Char"/>
    <w:uiPriority w:val="9"/>
    <w:qFormat/>
    <w:pPr>
      <w:keepNext/>
      <w:keepLines/>
      <w:spacing w:after="0" w:line="259" w:lineRule="auto"/>
      <w:ind w:left="130" w:hanging="10"/>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114" w:line="259" w:lineRule="auto"/>
      <w:ind w:left="130" w:hanging="10"/>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D6C46"/>
    <w:rPr>
      <w:color w:val="467886" w:themeColor="hyperlink"/>
      <w:u w:val="single"/>
    </w:rPr>
  </w:style>
  <w:style w:type="character" w:styleId="UnresolvedMention">
    <w:name w:val="Unresolved Mention"/>
    <w:basedOn w:val="DefaultParagraphFont"/>
    <w:uiPriority w:val="99"/>
    <w:semiHidden/>
    <w:unhideWhenUsed/>
    <w:rsid w:val="004D6C46"/>
    <w:rPr>
      <w:color w:val="605E5C"/>
      <w:shd w:val="clear" w:color="auto" w:fill="E1DFDD"/>
    </w:rPr>
  </w:style>
  <w:style w:type="paragraph" w:styleId="ListParagraph">
    <w:name w:val="List Paragraph"/>
    <w:basedOn w:val="Normal"/>
    <w:uiPriority w:val="34"/>
    <w:qFormat/>
    <w:rsid w:val="00665A71"/>
    <w:pPr>
      <w:ind w:left="720"/>
      <w:contextualSpacing/>
    </w:pPr>
  </w:style>
  <w:style w:type="paragraph" w:styleId="Header">
    <w:name w:val="header"/>
    <w:basedOn w:val="Normal"/>
    <w:link w:val="HeaderChar"/>
    <w:uiPriority w:val="99"/>
    <w:semiHidden/>
    <w:unhideWhenUsed/>
    <w:rsid w:val="008279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79B8"/>
    <w:rPr>
      <w:rFonts w:ascii="Cambria" w:eastAsia="Cambria" w:hAnsi="Cambria" w:cs="Cambria"/>
      <w:color w:val="000000"/>
    </w:rPr>
  </w:style>
  <w:style w:type="paragraph" w:styleId="Footer">
    <w:name w:val="footer"/>
    <w:basedOn w:val="Normal"/>
    <w:link w:val="FooterChar"/>
    <w:uiPriority w:val="99"/>
    <w:unhideWhenUsed/>
    <w:rsid w:val="00827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9B8"/>
    <w:rPr>
      <w:rFonts w:ascii="Cambria" w:eastAsia="Cambria" w:hAnsi="Cambria" w:cs="Cambria"/>
      <w:color w:val="000000"/>
    </w:rPr>
  </w:style>
  <w:style w:type="paragraph" w:styleId="TOCHeading">
    <w:name w:val="TOC Heading"/>
    <w:basedOn w:val="Heading1"/>
    <w:next w:val="Normal"/>
    <w:uiPriority w:val="39"/>
    <w:unhideWhenUsed/>
    <w:qFormat/>
    <w:rsid w:val="00CA5F61"/>
    <w:pPr>
      <w:spacing w:before="240"/>
      <w:ind w:left="0" w:firstLine="0"/>
      <w:outlineLvl w:val="9"/>
    </w:pPr>
    <w:rPr>
      <w:rFonts w:asciiTheme="majorHAnsi" w:eastAsiaTheme="majorEastAsia" w:hAnsiTheme="majorHAnsi" w:cstheme="majorBidi"/>
      <w:b w:val="0"/>
      <w:color w:val="0F4761" w:themeColor="accent1" w:themeShade="BF"/>
      <w:kern w:val="0"/>
      <w:szCs w:val="32"/>
      <w14:ligatures w14:val="none"/>
    </w:rPr>
  </w:style>
  <w:style w:type="paragraph" w:styleId="TOC1">
    <w:name w:val="toc 1"/>
    <w:basedOn w:val="Normal"/>
    <w:next w:val="Normal"/>
    <w:autoRedefine/>
    <w:uiPriority w:val="39"/>
    <w:unhideWhenUsed/>
    <w:rsid w:val="00CA5F61"/>
    <w:pPr>
      <w:spacing w:after="100"/>
      <w:ind w:left="0"/>
    </w:pPr>
  </w:style>
  <w:style w:type="paragraph" w:styleId="TOC2">
    <w:name w:val="toc 2"/>
    <w:basedOn w:val="Normal"/>
    <w:next w:val="Normal"/>
    <w:autoRedefine/>
    <w:uiPriority w:val="39"/>
    <w:unhideWhenUsed/>
    <w:rsid w:val="00CA5F61"/>
    <w:pPr>
      <w:spacing w:after="100"/>
      <w:ind w:left="240"/>
    </w:pPr>
  </w:style>
  <w:style w:type="character" w:styleId="FollowedHyperlink">
    <w:name w:val="FollowedHyperlink"/>
    <w:basedOn w:val="DefaultParagraphFont"/>
    <w:uiPriority w:val="99"/>
    <w:semiHidden/>
    <w:unhideWhenUsed/>
    <w:rsid w:val="006B20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nergage.com/trust/energage-subprocessors/" TargetMode="External"/><Relationship Id="rId18" Type="http://schemas.openxmlformats.org/officeDocument/2006/relationships/hyperlink" Target="https://www.energage.com/trust/requests/" TargetMode="External"/><Relationship Id="rId26" Type="http://schemas.openxmlformats.org/officeDocument/2006/relationships/footer" Target="footer3.xml"/><Relationship Id="rId21" Type="http://schemas.openxmlformats.org/officeDocument/2006/relationships/header" Target="header1.xm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www.energage.com/trust/energage-subprocessors/" TargetMode="External"/><Relationship Id="rId17" Type="http://schemas.openxmlformats.org/officeDocument/2006/relationships/hyperlink" Target="https://security.energage.com/" TargetMode="External"/><Relationship Id="rId25" Type="http://schemas.openxmlformats.org/officeDocument/2006/relationships/header" Target="header3.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security.energage.com/" TargetMode="External"/><Relationship Id="rId20" Type="http://schemas.openxmlformats.org/officeDocument/2006/relationships/hyperlink" Target="https://www.energage.com/trust/energage-subprocessors/" TargetMode="External"/><Relationship Id="rId29" Type="http://schemas.openxmlformats.org/officeDocument/2006/relationships/hyperlink" Target="https://www.energage.com/trustdocs/Energage-SCCs_2025Apr28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2.xm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ergage.com/trust/energage-subprocessors/" TargetMode="External"/><Relationship Id="rId23" Type="http://schemas.openxmlformats.org/officeDocument/2006/relationships/footer" Target="footer1.xml"/><Relationship Id="rId28" Type="http://schemas.openxmlformats.org/officeDocument/2006/relationships/hyperlink" Target="https://www.energage.com/trust/energage-subprocessor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nergage.com/trust/requests/"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age.com/trust/energage-subprocessors/" TargetMode="External"/><Relationship Id="rId22" Type="http://schemas.openxmlformats.org/officeDocument/2006/relationships/header" Target="header2.xml"/><Relationship Id="rId27" Type="http://schemas.openxmlformats.org/officeDocument/2006/relationships/hyperlink" Target="https://security.energage.com." TargetMode="External"/><Relationship Id="rId30" Type="http://schemas.openxmlformats.org/officeDocument/2006/relationships/header" Target="header4.xm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5E78738B55674C83A0A82BF7CC99A7" ma:contentTypeVersion="14" ma:contentTypeDescription="Create a new document." ma:contentTypeScope="" ma:versionID="63bc607203ab4a5db33122d7b2cadb4d">
  <xsd:schema xmlns:xsd="http://www.w3.org/2001/XMLSchema" xmlns:xs="http://www.w3.org/2001/XMLSchema" xmlns:p="http://schemas.microsoft.com/office/2006/metadata/properties" xmlns:ns2="768c1bd9-65ec-4fda-82f1-f39145dab375" xmlns:ns3="01c7724a-6f0e-4e95-8afa-c06ffe5d99b6" targetNamespace="http://schemas.microsoft.com/office/2006/metadata/properties" ma:root="true" ma:fieldsID="751ca60a3a4499eaf211ef646436728b" ns2:_="" ns3:_="">
    <xsd:import namespace="768c1bd9-65ec-4fda-82f1-f39145dab375"/>
    <xsd:import namespace="01c7724a-6f0e-4e95-8afa-c06ffe5d9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c1bd9-65ec-4fda-82f1-f39145dab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3c29a1-7af3-4927-b6b6-cd6115b4b53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7724a-6f0e-4e95-8afa-c06ffe5d9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b9123e2-e823-4db7-98a4-5043aee3a201}" ma:internalName="TaxCatchAll" ma:showField="CatchAllData" ma:web="01c7724a-6f0e-4e95-8afa-c06ffe5d9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8c1bd9-65ec-4fda-82f1-f39145dab375">
      <Terms xmlns="http://schemas.microsoft.com/office/infopath/2007/PartnerControls"/>
    </lcf76f155ced4ddcb4097134ff3c332f>
    <TaxCatchAll xmlns="01c7724a-6f0e-4e95-8afa-c06ffe5d99b6"/>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242E0-7BA1-474D-B307-26C126DBB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c1bd9-65ec-4fda-82f1-f39145dab375"/>
    <ds:schemaRef ds:uri="01c7724a-6f0e-4e95-8afa-c06ffe5d9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354288-55CC-4680-988F-29FBA2577CAE}">
  <ds:schemaRefs>
    <ds:schemaRef ds:uri="http://schemas.microsoft.com/sharepoint/v3/contenttype/forms"/>
  </ds:schemaRefs>
</ds:datastoreItem>
</file>

<file path=customXml/itemProps3.xml><?xml version="1.0" encoding="utf-8"?>
<ds:datastoreItem xmlns:ds="http://schemas.openxmlformats.org/officeDocument/2006/customXml" ds:itemID="{E455A583-57B9-4555-A74B-9FCC1EFCBA9D}">
  <ds:schemaRefs>
    <ds:schemaRef ds:uri="http://schemas.microsoft.com/office/2006/documentManagement/types"/>
    <ds:schemaRef ds:uri="http://schemas.openxmlformats.org/package/2006/metadata/core-properties"/>
    <ds:schemaRef ds:uri="01c7724a-6f0e-4e95-8afa-c06ffe5d99b6"/>
    <ds:schemaRef ds:uri="http://www.w3.org/XML/1998/namespace"/>
    <ds:schemaRef ds:uri="http://schemas.microsoft.com/office/infopath/2007/PartnerControls"/>
    <ds:schemaRef ds:uri="http://purl.org/dc/dcmitype/"/>
    <ds:schemaRef ds:uri="http://purl.org/dc/elements/1.1/"/>
    <ds:schemaRef ds:uri="768c1bd9-65ec-4fda-82f1-f39145dab375"/>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9F180DF-61C8-4B67-80A2-4390DC56D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4210</Words>
  <Characters>23450</Characters>
  <Application>Microsoft Office Word</Application>
  <DocSecurity>0</DocSecurity>
  <Lines>498</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27418</CharactersWithSpaces>
  <SharedDoc>false</SharedDoc>
  <HLinks>
    <vt:vector size="198" baseType="variant">
      <vt:variant>
        <vt:i4>5439498</vt:i4>
      </vt:variant>
      <vt:variant>
        <vt:i4>162</vt:i4>
      </vt:variant>
      <vt:variant>
        <vt:i4>0</vt:i4>
      </vt:variant>
      <vt:variant>
        <vt:i4>5</vt:i4>
      </vt:variant>
      <vt:variant>
        <vt:lpwstr>https://www.energage.com/trustdocs/Energage-SCCs_2025Apr28_FINAL.pdf</vt:lpwstr>
      </vt:variant>
      <vt:variant>
        <vt:lpwstr/>
      </vt:variant>
      <vt:variant>
        <vt:i4>2556023</vt:i4>
      </vt:variant>
      <vt:variant>
        <vt:i4>159</vt:i4>
      </vt:variant>
      <vt:variant>
        <vt:i4>0</vt:i4>
      </vt:variant>
      <vt:variant>
        <vt:i4>5</vt:i4>
      </vt:variant>
      <vt:variant>
        <vt:lpwstr>https://www.energage.com/trust/energage-subprocessors/</vt:lpwstr>
      </vt:variant>
      <vt:variant>
        <vt:lpwstr/>
      </vt:variant>
      <vt:variant>
        <vt:i4>8257646</vt:i4>
      </vt:variant>
      <vt:variant>
        <vt:i4>156</vt:i4>
      </vt:variant>
      <vt:variant>
        <vt:i4>0</vt:i4>
      </vt:variant>
      <vt:variant>
        <vt:i4>5</vt:i4>
      </vt:variant>
      <vt:variant>
        <vt:lpwstr>https://security.energage.com./</vt:lpwstr>
      </vt:variant>
      <vt:variant>
        <vt:lpwstr/>
      </vt:variant>
      <vt:variant>
        <vt:i4>2556023</vt:i4>
      </vt:variant>
      <vt:variant>
        <vt:i4>153</vt:i4>
      </vt:variant>
      <vt:variant>
        <vt:i4>0</vt:i4>
      </vt:variant>
      <vt:variant>
        <vt:i4>5</vt:i4>
      </vt:variant>
      <vt:variant>
        <vt:lpwstr>https://www.energage.com/trust/energage-subprocessors/</vt:lpwstr>
      </vt:variant>
      <vt:variant>
        <vt:lpwstr/>
      </vt:variant>
      <vt:variant>
        <vt:i4>1441808</vt:i4>
      </vt:variant>
      <vt:variant>
        <vt:i4>150</vt:i4>
      </vt:variant>
      <vt:variant>
        <vt:i4>0</vt:i4>
      </vt:variant>
      <vt:variant>
        <vt:i4>5</vt:i4>
      </vt:variant>
      <vt:variant>
        <vt:lpwstr>https://www.energage.com/trust/requests/</vt:lpwstr>
      </vt:variant>
      <vt:variant>
        <vt:lpwstr/>
      </vt:variant>
      <vt:variant>
        <vt:i4>1441808</vt:i4>
      </vt:variant>
      <vt:variant>
        <vt:i4>147</vt:i4>
      </vt:variant>
      <vt:variant>
        <vt:i4>0</vt:i4>
      </vt:variant>
      <vt:variant>
        <vt:i4>5</vt:i4>
      </vt:variant>
      <vt:variant>
        <vt:lpwstr>https://www.energage.com/trust/requests/</vt:lpwstr>
      </vt:variant>
      <vt:variant>
        <vt:lpwstr/>
      </vt:variant>
      <vt:variant>
        <vt:i4>8323182</vt:i4>
      </vt:variant>
      <vt:variant>
        <vt:i4>144</vt:i4>
      </vt:variant>
      <vt:variant>
        <vt:i4>0</vt:i4>
      </vt:variant>
      <vt:variant>
        <vt:i4>5</vt:i4>
      </vt:variant>
      <vt:variant>
        <vt:lpwstr>https://security.energage.com/</vt:lpwstr>
      </vt:variant>
      <vt:variant>
        <vt:lpwstr/>
      </vt:variant>
      <vt:variant>
        <vt:i4>8323182</vt:i4>
      </vt:variant>
      <vt:variant>
        <vt:i4>141</vt:i4>
      </vt:variant>
      <vt:variant>
        <vt:i4>0</vt:i4>
      </vt:variant>
      <vt:variant>
        <vt:i4>5</vt:i4>
      </vt:variant>
      <vt:variant>
        <vt:lpwstr>https://security.energage.com/</vt:lpwstr>
      </vt:variant>
      <vt:variant>
        <vt:lpwstr/>
      </vt:variant>
      <vt:variant>
        <vt:i4>2556023</vt:i4>
      </vt:variant>
      <vt:variant>
        <vt:i4>138</vt:i4>
      </vt:variant>
      <vt:variant>
        <vt:i4>0</vt:i4>
      </vt:variant>
      <vt:variant>
        <vt:i4>5</vt:i4>
      </vt:variant>
      <vt:variant>
        <vt:lpwstr>https://www.energage.com/trust/energage-subprocessors/</vt:lpwstr>
      </vt:variant>
      <vt:variant>
        <vt:lpwstr/>
      </vt:variant>
      <vt:variant>
        <vt:i4>2556023</vt:i4>
      </vt:variant>
      <vt:variant>
        <vt:i4>135</vt:i4>
      </vt:variant>
      <vt:variant>
        <vt:i4>0</vt:i4>
      </vt:variant>
      <vt:variant>
        <vt:i4>5</vt:i4>
      </vt:variant>
      <vt:variant>
        <vt:lpwstr>https://www.energage.com/trust/energage-subprocessors/</vt:lpwstr>
      </vt:variant>
      <vt:variant>
        <vt:lpwstr/>
      </vt:variant>
      <vt:variant>
        <vt:i4>2556023</vt:i4>
      </vt:variant>
      <vt:variant>
        <vt:i4>132</vt:i4>
      </vt:variant>
      <vt:variant>
        <vt:i4>0</vt:i4>
      </vt:variant>
      <vt:variant>
        <vt:i4>5</vt:i4>
      </vt:variant>
      <vt:variant>
        <vt:lpwstr>https://www.energage.com/trust/energage-subprocessors/</vt:lpwstr>
      </vt:variant>
      <vt:variant>
        <vt:lpwstr/>
      </vt:variant>
      <vt:variant>
        <vt:i4>2556023</vt:i4>
      </vt:variant>
      <vt:variant>
        <vt:i4>129</vt:i4>
      </vt:variant>
      <vt:variant>
        <vt:i4>0</vt:i4>
      </vt:variant>
      <vt:variant>
        <vt:i4>5</vt:i4>
      </vt:variant>
      <vt:variant>
        <vt:lpwstr>https://www.energage.com/trust/energage-subprocessors/</vt:lpwstr>
      </vt:variant>
      <vt:variant>
        <vt:lpwstr/>
      </vt:variant>
      <vt:variant>
        <vt:i4>1310783</vt:i4>
      </vt:variant>
      <vt:variant>
        <vt:i4>122</vt:i4>
      </vt:variant>
      <vt:variant>
        <vt:i4>0</vt:i4>
      </vt:variant>
      <vt:variant>
        <vt:i4>5</vt:i4>
      </vt:variant>
      <vt:variant>
        <vt:lpwstr/>
      </vt:variant>
      <vt:variant>
        <vt:lpwstr>_Toc219973380</vt:lpwstr>
      </vt:variant>
      <vt:variant>
        <vt:i4>1769535</vt:i4>
      </vt:variant>
      <vt:variant>
        <vt:i4>116</vt:i4>
      </vt:variant>
      <vt:variant>
        <vt:i4>0</vt:i4>
      </vt:variant>
      <vt:variant>
        <vt:i4>5</vt:i4>
      </vt:variant>
      <vt:variant>
        <vt:lpwstr/>
      </vt:variant>
      <vt:variant>
        <vt:lpwstr>_Toc219973379</vt:lpwstr>
      </vt:variant>
      <vt:variant>
        <vt:i4>1769535</vt:i4>
      </vt:variant>
      <vt:variant>
        <vt:i4>110</vt:i4>
      </vt:variant>
      <vt:variant>
        <vt:i4>0</vt:i4>
      </vt:variant>
      <vt:variant>
        <vt:i4>5</vt:i4>
      </vt:variant>
      <vt:variant>
        <vt:lpwstr/>
      </vt:variant>
      <vt:variant>
        <vt:lpwstr>_Toc219973378</vt:lpwstr>
      </vt:variant>
      <vt:variant>
        <vt:i4>1769535</vt:i4>
      </vt:variant>
      <vt:variant>
        <vt:i4>104</vt:i4>
      </vt:variant>
      <vt:variant>
        <vt:i4>0</vt:i4>
      </vt:variant>
      <vt:variant>
        <vt:i4>5</vt:i4>
      </vt:variant>
      <vt:variant>
        <vt:lpwstr/>
      </vt:variant>
      <vt:variant>
        <vt:lpwstr>_Toc219973377</vt:lpwstr>
      </vt:variant>
      <vt:variant>
        <vt:i4>1769535</vt:i4>
      </vt:variant>
      <vt:variant>
        <vt:i4>98</vt:i4>
      </vt:variant>
      <vt:variant>
        <vt:i4>0</vt:i4>
      </vt:variant>
      <vt:variant>
        <vt:i4>5</vt:i4>
      </vt:variant>
      <vt:variant>
        <vt:lpwstr/>
      </vt:variant>
      <vt:variant>
        <vt:lpwstr>_Toc219973376</vt:lpwstr>
      </vt:variant>
      <vt:variant>
        <vt:i4>1769535</vt:i4>
      </vt:variant>
      <vt:variant>
        <vt:i4>92</vt:i4>
      </vt:variant>
      <vt:variant>
        <vt:i4>0</vt:i4>
      </vt:variant>
      <vt:variant>
        <vt:i4>5</vt:i4>
      </vt:variant>
      <vt:variant>
        <vt:lpwstr/>
      </vt:variant>
      <vt:variant>
        <vt:lpwstr>_Toc219973375</vt:lpwstr>
      </vt:variant>
      <vt:variant>
        <vt:i4>1769535</vt:i4>
      </vt:variant>
      <vt:variant>
        <vt:i4>86</vt:i4>
      </vt:variant>
      <vt:variant>
        <vt:i4>0</vt:i4>
      </vt:variant>
      <vt:variant>
        <vt:i4>5</vt:i4>
      </vt:variant>
      <vt:variant>
        <vt:lpwstr/>
      </vt:variant>
      <vt:variant>
        <vt:lpwstr>_Toc219973374</vt:lpwstr>
      </vt:variant>
      <vt:variant>
        <vt:i4>1769535</vt:i4>
      </vt:variant>
      <vt:variant>
        <vt:i4>80</vt:i4>
      </vt:variant>
      <vt:variant>
        <vt:i4>0</vt:i4>
      </vt:variant>
      <vt:variant>
        <vt:i4>5</vt:i4>
      </vt:variant>
      <vt:variant>
        <vt:lpwstr/>
      </vt:variant>
      <vt:variant>
        <vt:lpwstr>_Toc219973373</vt:lpwstr>
      </vt:variant>
      <vt:variant>
        <vt:i4>1769535</vt:i4>
      </vt:variant>
      <vt:variant>
        <vt:i4>74</vt:i4>
      </vt:variant>
      <vt:variant>
        <vt:i4>0</vt:i4>
      </vt:variant>
      <vt:variant>
        <vt:i4>5</vt:i4>
      </vt:variant>
      <vt:variant>
        <vt:lpwstr/>
      </vt:variant>
      <vt:variant>
        <vt:lpwstr>_Toc219973372</vt:lpwstr>
      </vt:variant>
      <vt:variant>
        <vt:i4>1769535</vt:i4>
      </vt:variant>
      <vt:variant>
        <vt:i4>68</vt:i4>
      </vt:variant>
      <vt:variant>
        <vt:i4>0</vt:i4>
      </vt:variant>
      <vt:variant>
        <vt:i4>5</vt:i4>
      </vt:variant>
      <vt:variant>
        <vt:lpwstr/>
      </vt:variant>
      <vt:variant>
        <vt:lpwstr>_Toc219973371</vt:lpwstr>
      </vt:variant>
      <vt:variant>
        <vt:i4>1769535</vt:i4>
      </vt:variant>
      <vt:variant>
        <vt:i4>62</vt:i4>
      </vt:variant>
      <vt:variant>
        <vt:i4>0</vt:i4>
      </vt:variant>
      <vt:variant>
        <vt:i4>5</vt:i4>
      </vt:variant>
      <vt:variant>
        <vt:lpwstr/>
      </vt:variant>
      <vt:variant>
        <vt:lpwstr>_Toc219973370</vt:lpwstr>
      </vt:variant>
      <vt:variant>
        <vt:i4>1703999</vt:i4>
      </vt:variant>
      <vt:variant>
        <vt:i4>56</vt:i4>
      </vt:variant>
      <vt:variant>
        <vt:i4>0</vt:i4>
      </vt:variant>
      <vt:variant>
        <vt:i4>5</vt:i4>
      </vt:variant>
      <vt:variant>
        <vt:lpwstr/>
      </vt:variant>
      <vt:variant>
        <vt:lpwstr>_Toc219973369</vt:lpwstr>
      </vt:variant>
      <vt:variant>
        <vt:i4>1703999</vt:i4>
      </vt:variant>
      <vt:variant>
        <vt:i4>50</vt:i4>
      </vt:variant>
      <vt:variant>
        <vt:i4>0</vt:i4>
      </vt:variant>
      <vt:variant>
        <vt:i4>5</vt:i4>
      </vt:variant>
      <vt:variant>
        <vt:lpwstr/>
      </vt:variant>
      <vt:variant>
        <vt:lpwstr>_Toc219973368</vt:lpwstr>
      </vt:variant>
      <vt:variant>
        <vt:i4>1703999</vt:i4>
      </vt:variant>
      <vt:variant>
        <vt:i4>44</vt:i4>
      </vt:variant>
      <vt:variant>
        <vt:i4>0</vt:i4>
      </vt:variant>
      <vt:variant>
        <vt:i4>5</vt:i4>
      </vt:variant>
      <vt:variant>
        <vt:lpwstr/>
      </vt:variant>
      <vt:variant>
        <vt:lpwstr>_Toc219973367</vt:lpwstr>
      </vt:variant>
      <vt:variant>
        <vt:i4>1703999</vt:i4>
      </vt:variant>
      <vt:variant>
        <vt:i4>38</vt:i4>
      </vt:variant>
      <vt:variant>
        <vt:i4>0</vt:i4>
      </vt:variant>
      <vt:variant>
        <vt:i4>5</vt:i4>
      </vt:variant>
      <vt:variant>
        <vt:lpwstr/>
      </vt:variant>
      <vt:variant>
        <vt:lpwstr>_Toc219973366</vt:lpwstr>
      </vt:variant>
      <vt:variant>
        <vt:i4>1703999</vt:i4>
      </vt:variant>
      <vt:variant>
        <vt:i4>32</vt:i4>
      </vt:variant>
      <vt:variant>
        <vt:i4>0</vt:i4>
      </vt:variant>
      <vt:variant>
        <vt:i4>5</vt:i4>
      </vt:variant>
      <vt:variant>
        <vt:lpwstr/>
      </vt:variant>
      <vt:variant>
        <vt:lpwstr>_Toc219973365</vt:lpwstr>
      </vt:variant>
      <vt:variant>
        <vt:i4>1703999</vt:i4>
      </vt:variant>
      <vt:variant>
        <vt:i4>26</vt:i4>
      </vt:variant>
      <vt:variant>
        <vt:i4>0</vt:i4>
      </vt:variant>
      <vt:variant>
        <vt:i4>5</vt:i4>
      </vt:variant>
      <vt:variant>
        <vt:lpwstr/>
      </vt:variant>
      <vt:variant>
        <vt:lpwstr>_Toc219973364</vt:lpwstr>
      </vt:variant>
      <vt:variant>
        <vt:i4>1703999</vt:i4>
      </vt:variant>
      <vt:variant>
        <vt:i4>20</vt:i4>
      </vt:variant>
      <vt:variant>
        <vt:i4>0</vt:i4>
      </vt:variant>
      <vt:variant>
        <vt:i4>5</vt:i4>
      </vt:variant>
      <vt:variant>
        <vt:lpwstr/>
      </vt:variant>
      <vt:variant>
        <vt:lpwstr>_Toc219973363</vt:lpwstr>
      </vt:variant>
      <vt:variant>
        <vt:i4>1703999</vt:i4>
      </vt:variant>
      <vt:variant>
        <vt:i4>14</vt:i4>
      </vt:variant>
      <vt:variant>
        <vt:i4>0</vt:i4>
      </vt:variant>
      <vt:variant>
        <vt:i4>5</vt:i4>
      </vt:variant>
      <vt:variant>
        <vt:lpwstr/>
      </vt:variant>
      <vt:variant>
        <vt:lpwstr>_Toc219973362</vt:lpwstr>
      </vt:variant>
      <vt:variant>
        <vt:i4>1703999</vt:i4>
      </vt:variant>
      <vt:variant>
        <vt:i4>8</vt:i4>
      </vt:variant>
      <vt:variant>
        <vt:i4>0</vt:i4>
      </vt:variant>
      <vt:variant>
        <vt:i4>5</vt:i4>
      </vt:variant>
      <vt:variant>
        <vt:lpwstr/>
      </vt:variant>
      <vt:variant>
        <vt:lpwstr>_Toc219973361</vt:lpwstr>
      </vt:variant>
      <vt:variant>
        <vt:i4>1703999</vt:i4>
      </vt:variant>
      <vt:variant>
        <vt:i4>2</vt:i4>
      </vt:variant>
      <vt:variant>
        <vt:i4>0</vt:i4>
      </vt:variant>
      <vt:variant>
        <vt:i4>5</vt:i4>
      </vt:variant>
      <vt:variant>
        <vt:lpwstr/>
      </vt:variant>
      <vt:variant>
        <vt:lpwstr>_Toc219973360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Payton Young</dc:creator>
  <cp:keywords/>
  <cp:lastModifiedBy>Payton Young</cp:lastModifiedBy>
  <cp:revision>2</cp:revision>
  <dcterms:created xsi:type="dcterms:W3CDTF">2026-01-22T16:24:00Z</dcterms:created>
  <dcterms:modified xsi:type="dcterms:W3CDTF">2026-01-22T16:24:00Z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0x010100895E78738B55674C83A0A82BF7CC99A7</vt:lpwstr>
  </property>
  <property fmtid="{D5CDD505-2E9C-101B-9397-08002B2CF9AE}" pid="3" name="MSIP_Label_cc45a93b-e9bc-4bfa-be04-ed7effad863d_Enabled">
    <vt:lpwstr>true</vt:lpwstr>
  </property>
  <property fmtid="{D5CDD505-2E9C-101B-9397-08002B2CF9AE}" pid="4" name="MSIP_Label_cc45a93b-e9bc-4bfa-be04-ed7effad863d_SetDate">
    <vt:lpwstr>2026-01-22T15:48:39Z</vt:lpwstr>
  </property>
  <property fmtid="{D5CDD505-2E9C-101B-9397-08002B2CF9AE}" pid="5" name="MSIP_Label_cc45a93b-e9bc-4bfa-be04-ed7effad863d_Method">
    <vt:lpwstr>Standard</vt:lpwstr>
  </property>
  <property fmtid="{D5CDD505-2E9C-101B-9397-08002B2CF9AE}" pid="6" name="MSIP_Label_cc45a93b-e9bc-4bfa-be04-ed7effad863d_Name">
    <vt:lpwstr>Energage Confidential</vt:lpwstr>
  </property>
  <property fmtid="{D5CDD505-2E9C-101B-9397-08002B2CF9AE}" pid="7" name="MSIP_Label_cc45a93b-e9bc-4bfa-be04-ed7effad863d_SiteId">
    <vt:lpwstr>9fdf2c7e-d190-4b8e-ba6b-2cd9be62632e</vt:lpwstr>
  </property>
  <property fmtid="{D5CDD505-2E9C-101B-9397-08002B2CF9AE}" pid="8" name="MSIP_Label_cc45a93b-e9bc-4bfa-be04-ed7effad863d_ActionId">
    <vt:lpwstr>96102c7f-7e96-4576-a0f8-5e60996b9413</vt:lpwstr>
  </property>
  <property fmtid="{D5CDD505-2E9C-101B-9397-08002B2CF9AE}" pid="9" name="MSIP_Label_cc45a93b-e9bc-4bfa-be04-ed7effad863d_ContentBits">
    <vt:lpwstr>0</vt:lpwstr>
  </property>
  <property fmtid="{D5CDD505-2E9C-101B-9397-08002B2CF9AE}" pid="10" name="MSIP_Label_cc45a93b-e9bc-4bfa-be04-ed7effad863d_Tag">
    <vt:lpwstr>10, 3, 0, 1</vt:lpwstr>
  </property>
  <property fmtid="{D5CDD505-2E9C-101B-9397-08002B2CF9AE}" pid="11" name="MediaServiceImageTags">
    <vt:lpwstr/>
  </property>
</Properties>
</file>